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jc w:val="left"/>
        <w:widowControl w:val="1"/>
      </w:pPr>
      <w:r>
        <w:t>LRRK RESEARCH PAPER</w:t>
      </w:r>
    </w:p>
    <w:tbl>
      <w:tblPr>
        <w:tblW w:type="auto" w:w="0"/>
        <w:jc w:val="left"/>
        <w:tblLayout w:type="fixed"/>
        <w:tblLook w:firstColumn="1" w:firstRow="1" w:lastColumn="0" w:lastRow="0" w:noHBand="0" w:noVBand="1" w:val="04A0"/>
      </w:tblPr>
      <w:tblGrid>
        <w:gridCol w:w="1800"/>
        <w:gridCol w:w="8208"/>
      </w:tblGrid>
      <w:tr>
        <w:tc>
          <w:tcPr>
            <w:tcW w:type="dxa" w:w="4795"/>
            <w:tcBorders>
              <w:top w:val="nil"/>
              <w:left w:val="nil"/>
              <w:bottom w:val="nil"/>
              <w:right w:val="nil"/>
            </w:tcBorders>
            <w:shd w:fill="2F75B5"/>
            <w:tcMar>
              <w:top w:w="80" w:type="dxa"/>
              <w:left w:w="90" w:type="dxa"/>
              <w:bottom w:w="80" w:type="dxa"/>
              <w:right w:w="90" w:type="dxa"/>
            </w:tcMar>
          </w:tcPr>
          <w:p/>
        </w:tc>
        <w:tc>
          <w:tcPr>
            <w:tcW w:type="dxa" w:w="4795"/>
            <w:tcBorders>
              <w:top w:val="nil"/>
              <w:left w:val="nil"/>
              <w:bottom w:val="nil"/>
              <w:right w:val="nil"/>
            </w:tcBorders>
            <w:shd w:fill="D7E3F0"/>
            <w:tcMar>
              <w:top w:w="80" w:type="dxa"/>
              <w:left w:w="90" w:type="dxa"/>
              <w:bottom w:w="80" w:type="dxa"/>
              <w:right w:w="90" w:type="dxa"/>
            </w:tcMar>
          </w:tcPr>
          <w:p/>
        </w:tc>
      </w:tr>
    </w:tbl>
    <w:p>
      <w:pPr>
        <w:spacing w:after="360"/>
        <w:widowControl w:val="1"/>
      </w:pPr>
    </w:p>
    <w:p>
      <w:pPr>
        <w:pStyle w:val="PaperTitle"/>
        <w:jc w:val="left"/>
        <w:widowControl w:val="1"/>
      </w:pPr>
      <w:r>
        <w:t>Restricted, Still Available</w:t>
      </w:r>
    </w:p>
    <w:p>
      <w:pPr>
        <w:pStyle w:val="PaperSubtitle"/>
        <w:jc w:val="left"/>
        <w:widowControl w:val="1"/>
      </w:pPr>
      <w:r>
        <w:t>U.S. drone policy at the intersection of market access, industrial strategy, and product-security assurance</w:t>
      </w:r>
    </w:p>
    <w:p>
      <w:pPr>
        <w:spacing w:before="240" w:after="360"/>
        <w:jc w:val="left"/>
        <w:widowControl w:val="1"/>
      </w:pPr>
      <w:r>
        <w:rPr>
          <w:rFonts w:ascii="Cambria" w:hAnsi="Cambria"/>
          <w:color w:val="1F2937"/>
          <w:sz w:val="22"/>
        </w:rPr>
        <w:t>A research paper on the regulatory and commercial conditions that allow nationally restricted drone ecosystems to remain widely obtainable - and on the evidence infrastructure required to govern the installed base responsibly.</w:t>
      </w:r>
    </w:p>
    <w:tbl>
      <w:tblPr>
        <w:tblW w:type="auto" w:w="0"/>
        <w:jc w:val="left"/>
        <w:tblLayout w:type="fixed"/>
        <w:tblLook w:firstColumn="1" w:firstRow="1" w:lastColumn="0" w:lastRow="0" w:noHBand="0" w:noVBand="1" w:val="04A0"/>
      </w:tblPr>
      <w:tblGrid>
        <w:gridCol w:w="1872"/>
        <w:gridCol w:w="7704"/>
      </w:tblGrid>
      <w:tr>
        <w:tc>
          <w:tcPr>
            <w:tcW w:type="dxa" w:w="4795"/>
            <w:vAlign w:val="center"/>
            <w:shd w:fill="F5F7FA"/>
            <w:tcBorders>
              <w:top w:val="single" w:sz="4" w:color="CBD5E1"/>
              <w:left w:val="single" w:sz="4" w:color="CBD5E1"/>
              <w:bottom w:val="single" w:sz="4" w:color="CBD5E1"/>
              <w:right w:val="single" w:sz="4" w:color="CBD5E1"/>
            </w:tcBorders>
            <w:tcMar>
              <w:top w:w="80" w:type="dxa"/>
              <w:left w:w="90" w:type="dxa"/>
              <w:bottom w:w="80" w:type="dxa"/>
              <w:right w:w="90" w:type="dxa"/>
            </w:tcMar>
          </w:tcPr>
          <w:p>
            <w:r>
              <w:rPr>
                <w:rFonts w:ascii="Aptos" w:hAnsi="Aptos"/>
                <w:b/>
                <w:color w:val="2F75B5"/>
                <w:sz w:val="15"/>
              </w:rPr>
              <w:t>PREPARED FOR</w:t>
            </w:r>
          </w:p>
        </w:tc>
        <w:tc>
          <w:tcPr>
            <w:tcW w:type="dxa" w:w="4795"/>
            <w:vAlign w:val="center"/>
            <w:shd w:fill="FFFFFF"/>
            <w:tcBorders>
              <w:top w:val="single" w:sz="4" w:color="CBD5E1"/>
              <w:left w:val="single" w:sz="4" w:color="CBD5E1"/>
              <w:bottom w:val="single" w:sz="4" w:color="CBD5E1"/>
              <w:right w:val="single" w:sz="4" w:color="CBD5E1"/>
            </w:tcBorders>
            <w:tcMar>
              <w:top w:w="80" w:type="dxa"/>
              <w:left w:w="90" w:type="dxa"/>
              <w:bottom w:w="80" w:type="dxa"/>
              <w:right w:w="90" w:type="dxa"/>
            </w:tcMar>
          </w:tcPr>
          <w:p>
            <w:r>
              <w:rPr>
                <w:rFonts w:ascii="Cambria" w:hAnsi="Cambria"/>
                <w:color w:val="1F2937"/>
                <w:sz w:val="19"/>
              </w:rPr>
              <w:t>LRRK LLC</w:t>
            </w:r>
          </w:p>
        </w:tc>
      </w:tr>
      <w:tr>
        <w:tc>
          <w:tcPr>
            <w:tcW w:type="dxa" w:w="4795"/>
            <w:vAlign w:val="center"/>
            <w:shd w:fill="F5F7FA"/>
            <w:tcBorders>
              <w:top w:val="single" w:sz="4" w:color="CBD5E1"/>
              <w:left w:val="single" w:sz="4" w:color="CBD5E1"/>
              <w:bottom w:val="single" w:sz="4" w:color="CBD5E1"/>
              <w:right w:val="single" w:sz="4" w:color="CBD5E1"/>
            </w:tcBorders>
            <w:tcMar>
              <w:top w:w="80" w:type="dxa"/>
              <w:left w:w="90" w:type="dxa"/>
              <w:bottom w:w="80" w:type="dxa"/>
              <w:right w:w="90" w:type="dxa"/>
            </w:tcMar>
          </w:tcPr>
          <w:p>
            <w:r>
              <w:rPr>
                <w:rFonts w:ascii="Aptos" w:hAnsi="Aptos"/>
                <w:b/>
                <w:color w:val="2F75B5"/>
                <w:sz w:val="15"/>
              </w:rPr>
              <w:t>DATE</w:t>
            </w:r>
          </w:p>
        </w:tc>
        <w:tc>
          <w:tcPr>
            <w:tcW w:type="dxa" w:w="4795"/>
            <w:vAlign w:val="center"/>
            <w:shd w:fill="FFFFFF"/>
            <w:tcBorders>
              <w:top w:val="single" w:sz="4" w:color="CBD5E1"/>
              <w:left w:val="single" w:sz="4" w:color="CBD5E1"/>
              <w:bottom w:val="single" w:sz="4" w:color="CBD5E1"/>
              <w:right w:val="single" w:sz="4" w:color="CBD5E1"/>
            </w:tcBorders>
            <w:tcMar>
              <w:top w:w="80" w:type="dxa"/>
              <w:left w:w="90" w:type="dxa"/>
              <w:bottom w:w="80" w:type="dxa"/>
              <w:right w:w="90" w:type="dxa"/>
            </w:tcMar>
          </w:tcPr>
          <w:p>
            <w:r>
              <w:rPr>
                <w:rFonts w:ascii="Cambria" w:hAnsi="Cambria"/>
                <w:color w:val="1F2937"/>
                <w:sz w:val="19"/>
              </w:rPr>
              <w:t>August 12, 2026</w:t>
            </w:r>
          </w:p>
        </w:tc>
      </w:tr>
      <w:tr>
        <w:tc>
          <w:tcPr>
            <w:tcW w:type="dxa" w:w="4795"/>
            <w:vAlign w:val="center"/>
            <w:shd w:fill="F5F7FA"/>
            <w:tcBorders>
              <w:top w:val="single" w:sz="4" w:color="CBD5E1"/>
              <w:left w:val="single" w:sz="4" w:color="CBD5E1"/>
              <w:bottom w:val="single" w:sz="4" w:color="CBD5E1"/>
              <w:right w:val="single" w:sz="4" w:color="CBD5E1"/>
            </w:tcBorders>
            <w:tcMar>
              <w:top w:w="80" w:type="dxa"/>
              <w:left w:w="90" w:type="dxa"/>
              <w:bottom w:w="80" w:type="dxa"/>
              <w:right w:w="90" w:type="dxa"/>
            </w:tcMar>
          </w:tcPr>
          <w:p>
            <w:r>
              <w:rPr>
                <w:rFonts w:ascii="Aptos" w:hAnsi="Aptos"/>
                <w:b/>
                <w:color w:val="2F75B5"/>
                <w:sz w:val="15"/>
              </w:rPr>
              <w:t>SCOPE</w:t>
            </w:r>
          </w:p>
        </w:tc>
        <w:tc>
          <w:tcPr>
            <w:tcW w:type="dxa" w:w="4795"/>
            <w:vAlign w:val="center"/>
            <w:shd w:fill="FFFFFF"/>
            <w:tcBorders>
              <w:top w:val="single" w:sz="4" w:color="CBD5E1"/>
              <w:left w:val="single" w:sz="4" w:color="CBD5E1"/>
              <w:bottom w:val="single" w:sz="4" w:color="CBD5E1"/>
              <w:right w:val="single" w:sz="4" w:color="CBD5E1"/>
            </w:tcBorders>
            <w:tcMar>
              <w:top w:w="80" w:type="dxa"/>
              <w:left w:w="90" w:type="dxa"/>
              <w:bottom w:w="80" w:type="dxa"/>
              <w:right w:w="90" w:type="dxa"/>
            </w:tcMar>
          </w:tcPr>
          <w:p>
            <w:r>
              <w:rPr>
                <w:rFonts w:ascii="Cambria" w:hAnsi="Cambria"/>
                <w:color w:val="1F2937"/>
                <w:sz w:val="19"/>
              </w:rPr>
              <w:t>Federal UAS market-access, procurement, retail, and cybersecurity assurance</w:t>
            </w:r>
          </w:p>
        </w:tc>
      </w:tr>
      <w:tr>
        <w:tc>
          <w:tcPr>
            <w:tcW w:type="dxa" w:w="4795"/>
            <w:vAlign w:val="center"/>
            <w:shd w:fill="F5F7FA"/>
            <w:tcBorders>
              <w:top w:val="single" w:sz="4" w:color="CBD5E1"/>
              <w:left w:val="single" w:sz="4" w:color="CBD5E1"/>
              <w:bottom w:val="single" w:sz="4" w:color="CBD5E1"/>
              <w:right w:val="single" w:sz="4" w:color="CBD5E1"/>
            </w:tcBorders>
            <w:tcMar>
              <w:top w:w="80" w:type="dxa"/>
              <w:left w:w="90" w:type="dxa"/>
              <w:bottom w:w="80" w:type="dxa"/>
              <w:right w:w="90" w:type="dxa"/>
            </w:tcMar>
          </w:tcPr>
          <w:p>
            <w:r>
              <w:rPr>
                <w:rFonts w:ascii="Aptos" w:hAnsi="Aptos"/>
                <w:b/>
                <w:color w:val="2F75B5"/>
                <w:sz w:val="15"/>
              </w:rPr>
              <w:t>METHOD</w:t>
            </w:r>
          </w:p>
        </w:tc>
        <w:tc>
          <w:tcPr>
            <w:tcW w:type="dxa" w:w="4795"/>
            <w:vAlign w:val="center"/>
            <w:shd w:fill="FFFFFF"/>
            <w:tcBorders>
              <w:top w:val="single" w:sz="4" w:color="CBD5E1"/>
              <w:left w:val="single" w:sz="4" w:color="CBD5E1"/>
              <w:bottom w:val="single" w:sz="4" w:color="CBD5E1"/>
              <w:right w:val="single" w:sz="4" w:color="CBD5E1"/>
            </w:tcBorders>
            <w:tcMar>
              <w:top w:w="80" w:type="dxa"/>
              <w:left w:w="90" w:type="dxa"/>
              <w:bottom w:w="80" w:type="dxa"/>
              <w:right w:w="90" w:type="dxa"/>
            </w:tcMar>
          </w:tcPr>
          <w:p>
            <w:r>
              <w:rPr>
                <w:rFonts w:ascii="Cambria" w:hAnsi="Cambria"/>
                <w:color w:val="1F2937"/>
                <w:sz w:val="19"/>
              </w:rPr>
              <w:t>Regulatory analysis and an August 2026 manufacturer-level retail availability audit</w:t>
            </w:r>
          </w:p>
        </w:tc>
      </w:tr>
    </w:tbl>
    <w:p>
      <w:pPr>
        <w:spacing w:before="600"/>
        <w:widowControl w:val="1"/>
      </w:pPr>
      <w:r>
        <w:rPr>
          <w:rFonts w:ascii="Aptos" w:hAnsi="Aptos"/>
          <w:b/>
          <w:color w:val="2F75B5"/>
          <w:sz w:val="17"/>
        </w:rPr>
        <w:t>Keywords</w:t>
      </w:r>
      <w:r>
        <w:rPr>
          <w:sz w:val="19"/>
        </w:rPr>
        <w:br/>
        <w:t>conjunctural analysis  /  FCC Covered List  /  American Security Drone Act  /  retail persistence  /  UAS cybersecurity  /  product-security passport</w:t>
      </w:r>
    </w:p>
    <w:p>
      <w:pPr>
        <w:sectPr>
          <w:pgSz w:w="12240" w:h="15840"/>
          <w:pgMar w:top="1224" w:right="1325" w:bottom="1152" w:left="1325" w:header="432" w:footer="504" w:gutter="0"/>
          <w:cols w:space="720"/>
          <w:titlePg/>
          <w:docGrid w:linePitch="360"/>
        </w:sectPr>
        <w:widowControl w:val="1"/>
      </w:pPr>
    </w:p>
    <w:p>
      <w:pPr>
        <w:pStyle w:val="AbstractLabel"/>
        <w:keepNext/>
        <w:widowControl w:val="1"/>
      </w:pPr>
      <w:r>
        <w:t>ABSTRACT</w:t>
      </w:r>
    </w:p>
    <w:p>
      <w:pPr>
        <w:pStyle w:val="AbstractBody"/>
        <w:jc w:val="both"/>
        <w:widowControl w:val="1"/>
      </w:pPr>
      <w:r>
        <w:t>The rapid expansion of U.S. restrictions on foreign-produced drones has created a public vocabulary of prohibition that is more complete than the underlying legal reality. Many affected manufacturers remain visible in U.S. retail channels, previously authorized models continue to circulate, and owners retain systems whose regulatory status has changed without a corresponding change in their technical condition. This paper argues that the apparent contradiction - restricted yet still available - is produced by the interaction of several distinct processes: prospective Federal Communications Commission equipment-authorization controls, entity-specific federal procurement rules, defense supply-chain requirements, industrial policy, durable inventories, platform switching costs, and fragmented online retail. An August 2026 audit of 44 commercially relevant manufacturers in the high-risk subset found a clear U.S. purchase path for 28 and an indirect or limited path for another 12. The finding does not establish that regulation has failed. It shows that regulatory status and commercial availability operate on different objects and timelines. The deeper problem is an assurance deficit. Category-level designations communicate strategic concern but provide owners little evidence about a particular device's firmware, configuration, data flows, cloud dependencies, vulnerabilities, or remediation history. The paper therefore proposes a signed product-security passport and longitudinal security story as a complementary governance layer for the installed base.</w:t>
      </w:r>
    </w:p>
    <w:p>
      <w:pPr>
        <w:pStyle w:val="Heading1"/>
        <w:keepNext/>
        <w:keepLines/>
        <w:widowControl w:val="1"/>
      </w:pPr>
      <w:r>
        <w:t>1. Introduction: Beyond the Language of Ban</w:t>
      </w:r>
    </w:p>
    <w:p>
      <w:pPr>
        <w:ind w:firstLine="346"/>
        <w:jc w:val="both"/>
        <w:widowControl w:val="1"/>
      </w:pPr>
      <w:r>
        <w:t>The phrase "banned drone" now circulates across policy reporting, procurement guidance, retailer conversations, and consumer discussion as though it described a single legal condition. It does not. A drone can be barred from receiving a new FCC equipment authorization yet remain lawful to own and operate. It can be unavailable for a federally funded mission while remaining on a commercial retailer's website. One configuration can appear on a trusted procurement list while another configuration from the same manufacturer does not. A model can also become strategically disfavored without any finding that its current firmware is vulnerable. These distinctions are not semantic trivia. They determine which products may enter the market, who may purchase them, how existing owners are treated, and what kind of evidence is required to make a defensible security decision.</w:t>
      </w:r>
    </w:p>
    <w:p>
      <w:pPr>
        <w:ind w:firstLine="346"/>
        <w:jc w:val="both"/>
        <w:widowControl w:val="1"/>
      </w:pPr>
      <w:r>
        <w:t>A useful analysis therefore begins with the contradiction rather than trying to explain it away. The coexistence of restriction and availability is best understood as a conjunctural problem: several legal, economic, technical, and geopolitical processes have converged without becoming a single unified regime. The approach is relational as well as temporal. DJI consumer aircraft, Autel enterprise systems, XAG agricultural sprayers, SwellPro waterproof drones, and white-label marketplace products serve different missions and move through different distribution networks, but federal policy increasingly places them inside a common supply-chain narrative. The task is to explain how that common narrative is assembled, what it accomplishes, and where it leaves unresolved risk.</w:t>
      </w:r>
      <w:r>
        <w:rPr>
          <w:color w:val="2F75B5"/>
          <w:sz w:val="15"/>
          <w:vertAlign w:val="superscript"/>
        </w:rPr>
        <w:t>1</w:t>
      </w:r>
    </w:p>
    <w:p>
      <w:pPr>
        <w:ind w:firstLine="346"/>
        <w:jc w:val="both"/>
        <w:widowControl w:val="1"/>
      </w:pPr>
      <w:r>
        <w:t>The central claim of this paper is that retail persistence is not merely a loophole and not sufficient evidence of enforcement failure. It is a predictable result of asynchronous regulatory clocks. FCC equipment authorization is largely prospective. Federal procurement restrictions attach to agencies, funding streams, and covered entities. Defense rules examine configurations, components, and services. Retail systems, by contrast, continue to monetize previously authorized inventory, installed-base demand, replacement parts, and cross-border fulfillment. Each system is rational within its own operating logic. Their interaction shifts transition costs and uncertainty toward owners, operators, integrators, and retailers.</w:t>
      </w:r>
    </w:p>
    <w:p>
      <w:pPr>
        <w:ind w:firstLine="346"/>
        <w:jc w:val="both"/>
        <w:widowControl w:val="1"/>
      </w:pPr>
      <w:r>
        <w:t>That shift exposes a second and more consequential gap. Strategic designations can identify jurisdictional exposure, supply-chain dependence, or unacceptable national-security risk at a category level. They do not tell an owner what a particular aircraft is communicating, whether an application sends telemetry to an undeclared endpoint, which firmware build is installed, whether support has ended, or whether a mitigation was actually applied. The paper develops this distinction between regulatory classification and technical assurance, then argues that the installed base requires an evidence layer that neither retail listings nor current blacklists provide.</w:t>
      </w:r>
    </w:p>
    <w:p>
      <w:pPr>
        <w:ind w:firstLine="346"/>
        <w:jc w:val="both"/>
        <w:widowControl w:val="1"/>
      </w:pPr>
      <w:r>
        <w:t>The analysis combines current federal authorities with a manufacturer-level retail audit conducted on August 12, 2026. The audit began with 59 manufacturers categorized as red or critical in a broader restrictions matrix. Fifteen military-only, state-owned, or heavily sanctioned manufacturers were removed from the civilian-retail denominator. The remaining 44 were assessed for clear U.S. purchase channels, indirect or limited availability, or no sufficiently verified path. Because online inventory changes quickly, the results are a market snapshot rather than a permanent count. Their value lies in revealing the structure of availability after restriction, not in predicting whether a particular listing will remain in stock.</w:t>
      </w:r>
    </w:p>
    <w:p>
      <w:pPr>
        <w:pStyle w:val="Heading1"/>
        <w:keepNext/>
        <w:keepLines/>
        <w:widowControl w:val="1"/>
      </w:pPr>
      <w:r>
        <w:t>2. One Market, Several Regulatory Regimes</w:t>
      </w:r>
    </w:p>
    <w:p>
      <w:pPr>
        <w:ind w:firstLine="346"/>
        <w:jc w:val="both"/>
        <w:widowControl w:val="1"/>
      </w:pPr>
      <w:r>
        <w:t>The most expansive current restriction is the FCC's December 22, 2025 addition of foreign-produced uncrewed aircraft systems and critical UAS components to the Covered List. The action is category based: a manufacturer does not need to be individually named for a newly covered foreign-produced device to lose access to FCC equipment authorization. This matters because authorization is generally a prerequisite for importing, marketing, or selling radio-frequency devices in the United States. The decision also incorporated equipment and services described in section 1709 of the fiscal year 2025 defense authorization legislation, including DJI and Autel-related ecosystems.</w:t>
      </w:r>
      <w:r>
        <w:rPr>
          <w:color w:val="2F75B5"/>
          <w:sz w:val="15"/>
          <w:vertAlign w:val="superscript"/>
        </w:rPr>
        <w:t>2</w:t>
      </w:r>
    </w:p>
    <w:p>
      <w:pPr>
        <w:ind w:firstLine="346"/>
        <w:jc w:val="both"/>
        <w:widowControl w:val="1"/>
      </w:pPr>
      <w:r>
        <w:t>The action was nevertheless designed primarily as a going-forward market-entry control. The FCC expressly stated that it did not prevent consumers from continuing to use drones they had already acquired and did not, by itself, prevent continued importation, marketing, or sale of previously authorized models. This creates a distinction between a newly covered model that cannot receive authorization and an earlier model whose authorization remains valid. It also explains why a retailer can lawfully display an affected brand after the brand has become shorthand for prohibition. The legal object is the authorization status of particular equipment, not the disappearance of every product bearing the same logo.</w:t>
      </w:r>
    </w:p>
    <w:p>
      <w:pPr>
        <w:ind w:firstLine="346"/>
        <w:jc w:val="both"/>
        <w:widowControl w:val="1"/>
      </w:pPr>
      <w:r>
        <w:t>Exceptions further complicate any simple manufacturer blacklist. As of July 2026, exact configurations on the Blue UAS list and qualifying domestic end products remain outside the foreign-production restriction through January 1, 2028. Foreign-produced systems granted Conditional Approval can continue receiving authorizations while the approval holder complies with its onshoring plan and continuing conditions. A narrow toy exception also removes devices that satisfy a demanding collection of criteria. These are configuration-level pathways. They should not be generalized across a manufacturer's entire catalog, and a familiar brand name is not evidence that a specific payload, controller, software build, or bill of materials is approved.</w:t>
      </w:r>
      <w:r>
        <w:rPr>
          <w:color w:val="2F75B5"/>
          <w:sz w:val="15"/>
          <w:vertAlign w:val="superscript"/>
        </w:rPr>
        <w:t>3</w:t>
      </w:r>
    </w:p>
    <w:p>
      <w:pPr>
        <w:ind w:firstLine="346"/>
        <w:jc w:val="both"/>
        <w:widowControl w:val="1"/>
      </w:pPr>
      <w:r>
        <w:t>The American Security Drone Act operates on a different object. FAR 40.202 prohibits executive agencies, absent an applicable exemption, exception, or waiver, from procuring a FASC-prohibited UAS. It also reaches services for operating such systems and the use of federal funds for procurement or operation. A FASC-prohibited system is one manufactured or assembled by an entity on the covered foreign entity list maintained through SAM.gov. That list incorporates entities on the Consolidated Screening List. The rule is therefore entity and mission specific. It does not function as a general consumer-sales statute, and foreign origin alone is not the complete legal test for civilian-agency procurement.</w:t>
      </w:r>
      <w:r>
        <w:rPr>
          <w:color w:val="2F75B5"/>
          <w:sz w:val="15"/>
          <w:vertAlign w:val="superscript"/>
        </w:rPr>
        <w:t>4</w:t>
      </w:r>
    </w:p>
    <w:p>
      <w:pPr>
        <w:ind w:firstLine="346"/>
        <w:jc w:val="both"/>
        <w:widowControl w:val="1"/>
      </w:pPr>
      <w:r>
        <w:t>Defense procurement introduces a broader supply-chain inquiry. Under 10 U.S.C. 4871, the analysis can extend beyond the airframe manufacturer to the country of manufacture, critical components, associated services, and ownership or control. Blue UAS review supplies one pathway for establishing an exact configuration that meets applicable statutory and cybersecurity requirements. This means that a procurement decision cannot be made reliably from a retail model name alone. Two aircraft sold under one family can have different radios, payloads, firmware branches, production sites, or component origins, and those differences can determine eligibility.</w:t>
      </w:r>
      <w:r>
        <w:rPr>
          <w:color w:val="2F75B5"/>
          <w:sz w:val="15"/>
          <w:vertAlign w:val="superscript"/>
        </w:rPr>
        <w:t>5</w:t>
      </w:r>
    </w:p>
    <w:p>
      <w:pPr>
        <w:ind w:firstLine="346"/>
        <w:jc w:val="both"/>
        <w:widowControl w:val="1"/>
      </w:pPr>
      <w:r>
        <w:t>The FCC's summer 2026 proceedings show the regime moving toward a more retrospective phase, but they must be described accurately. One proposal would restrict continued importation and marketing of previously authorized equipment associated with XAG and several named white-label or closely related entities. A second would address previously authorized foreign-produced systems meeting proposed "military-grade" capability tests, including heavy aircraft, agricultural dispensing systems, thermal imaging, LiDAR, docking stations, defense-article integration, and purpose-built swarming. Neither proceeding was final as of August 12, 2026, and both preserved continued operation of equipment already in users' hands.</w:t>
      </w:r>
      <w:r>
        <w:rPr>
          <w:color w:val="2F75B5"/>
          <w:sz w:val="15"/>
          <w:vertAlign w:val="superscript"/>
        </w:rPr>
        <w:t>7</w:t>
      </w:r>
    </w:p>
    <w:p>
      <w:pPr>
        <w:ind w:firstLine="346"/>
        <w:jc w:val="both"/>
        <w:widowControl w:val="1"/>
      </w:pPr>
      <w:r>
        <w:t>Taken together, these authorities create several legal clocks: new authorization, legacy authorization, federal acquisition, defense supply-chain eligibility, conditional approval, and possible future limits on importation or marketing. The public word "ban" collapses those clocks into one moment. The market does not. Products remain visible because the regulatory system has targeted entry, funding, and trusted procurement more decisively than it has targeted possession, installed-base operation, or every unit of legacy inventory.</w:t>
      </w:r>
    </w:p>
    <w:p>
      <w:pPr>
        <w:pStyle w:val="Heading1"/>
        <w:keepNext/>
        <w:keepLines/>
        <w:widowControl w:val="1"/>
      </w:pPr>
      <w:r>
        <w:t>3. Retail Persistence and Regulatory Latency</w:t>
      </w:r>
    </w:p>
    <w:p>
      <w:pPr>
        <w:ind w:firstLine="346"/>
        <w:jc w:val="both"/>
        <w:widowControl w:val="1"/>
      </w:pPr>
      <w:r>
        <w:t>The retail audit was designed to test whether commercially relevant manufacturers in the high-risk subset had disappeared from ordinary U.S. purchasing channels. A "clear" channel required an active U.S.-facing checkout, a stated U.S. warehouse, or a recognizable domestic specialist retailer offering a complete aircraft or operational system. An "indirect or limited" channel included marketplace sellers, direct import, special order, legacy stock, or a live product page without a stable domestic fulfillment path. Component-only listings were not counted as proof that a complete aircraft was available.</w:t>
      </w:r>
    </w:p>
    <w:p>
      <w:pPr>
        <w:pStyle w:val="TableCaption"/>
        <w:keepNext/>
        <w:widowControl w:val="1"/>
      </w:pPr>
      <w:r>
        <w:t>Table 1. Manufacturer-level U.S. online availability snapshot, August 12, 2026</w:t>
      </w:r>
    </w:p>
    <w:tbl>
      <w:tblPr>
        <w:tblW w:type="auto" w:w="0"/>
        <w:jc w:val="center"/>
        <w:tblLayout w:type="fixed"/>
        <w:tblLook w:firstColumn="1" w:firstRow="1" w:lastColumn="0" w:lastRow="0" w:noHBand="0" w:noVBand="1" w:val="04A0"/>
      </w:tblPr>
      <w:tblGrid>
        <w:gridCol w:w="2412"/>
        <w:gridCol w:w="2412"/>
        <w:gridCol w:w="2412"/>
        <w:gridCol w:w="2412"/>
      </w:tblGrid>
      <w:tr>
        <w:trPr>
          <w:tblHeader w:val="true"/>
        </w:trPr>
        <w:tc>
          <w:tcPr>
            <w:tcW w:type="dxa" w:w="3024"/>
            <w:shd w:fill="17365D"/>
            <w:vAlign w:val="center"/>
            <w:tcBorders>
              <w:top w:val="single" w:sz="4" w:color="17365D"/>
              <w:left w:val="single" w:sz="4" w:color="FFFFFF"/>
              <w:bottom w:val="single" w:sz="4" w:color="FFFFFF"/>
              <w:right w:val="single" w:sz="4" w:color="FFFFFF"/>
            </w:tcBorders>
            <w:tcMar>
              <w:top w:w="80" w:type="dxa"/>
              <w:left w:w="90" w:type="dxa"/>
              <w:bottom w:w="80" w:type="dxa"/>
              <w:right w:w="90" w:type="dxa"/>
            </w:tcMar>
          </w:tcPr>
          <w:p>
            <w:pPr>
              <w:jc w:val="center"/>
            </w:pPr>
            <w:r>
              <w:rPr>
                <w:rFonts w:ascii="Aptos" w:hAnsi="Aptos"/>
                <w:b/>
                <w:color w:val="FFFFFF"/>
                <w:sz w:val="16"/>
              </w:rPr>
              <w:t>Availability classification</w:t>
            </w:r>
          </w:p>
        </w:tc>
        <w:tc>
          <w:tcPr>
            <w:tcW w:type="dxa" w:w="1512"/>
            <w:shd w:fill="17365D"/>
            <w:vAlign w:val="center"/>
            <w:tcBorders>
              <w:top w:val="single" w:sz="4" w:color="17365D"/>
              <w:left w:val="single" w:sz="4" w:color="FFFFFF"/>
              <w:bottom w:val="single" w:sz="4" w:color="FFFFFF"/>
              <w:right w:val="single" w:sz="4" w:color="FFFFFF"/>
            </w:tcBorders>
            <w:tcMar>
              <w:top w:w="80" w:type="dxa"/>
              <w:left w:w="90" w:type="dxa"/>
              <w:bottom w:w="80" w:type="dxa"/>
              <w:right w:w="90" w:type="dxa"/>
            </w:tcMar>
          </w:tcPr>
          <w:p>
            <w:pPr>
              <w:jc w:val="center"/>
            </w:pPr>
            <w:r>
              <w:rPr>
                <w:rFonts w:ascii="Aptos" w:hAnsi="Aptos"/>
                <w:b/>
                <w:color w:val="FFFFFF"/>
                <w:sz w:val="16"/>
              </w:rPr>
              <w:t>Manufacturers</w:t>
            </w:r>
          </w:p>
        </w:tc>
        <w:tc>
          <w:tcPr>
            <w:tcW w:type="dxa" w:w="1296"/>
            <w:shd w:fill="17365D"/>
            <w:vAlign w:val="center"/>
            <w:tcBorders>
              <w:top w:val="single" w:sz="4" w:color="17365D"/>
              <w:left w:val="single" w:sz="4" w:color="FFFFFF"/>
              <w:bottom w:val="single" w:sz="4" w:color="FFFFFF"/>
              <w:right w:val="single" w:sz="4" w:color="FFFFFF"/>
            </w:tcBorders>
            <w:tcMar>
              <w:top w:w="80" w:type="dxa"/>
              <w:left w:w="90" w:type="dxa"/>
              <w:bottom w:w="80" w:type="dxa"/>
              <w:right w:w="90" w:type="dxa"/>
            </w:tcMar>
          </w:tcPr>
          <w:p>
            <w:pPr>
              <w:jc w:val="center"/>
            </w:pPr>
            <w:r>
              <w:rPr>
                <w:rFonts w:ascii="Aptos" w:hAnsi="Aptos"/>
                <w:b/>
                <w:color w:val="FFFFFF"/>
                <w:sz w:val="16"/>
              </w:rPr>
              <w:t>Share</w:t>
            </w:r>
          </w:p>
        </w:tc>
        <w:tc>
          <w:tcPr>
            <w:tcW w:type="dxa" w:w="4824"/>
            <w:shd w:fill="17365D"/>
            <w:vAlign w:val="center"/>
            <w:tcBorders>
              <w:top w:val="single" w:sz="4" w:color="17365D"/>
              <w:left w:val="single" w:sz="4" w:color="FFFFFF"/>
              <w:bottom w:val="single" w:sz="4" w:color="FFFFFF"/>
              <w:right w:val="single" w:sz="4" w:color="FFFFFF"/>
            </w:tcBorders>
            <w:tcMar>
              <w:top w:w="80" w:type="dxa"/>
              <w:left w:w="90" w:type="dxa"/>
              <w:bottom w:w="80" w:type="dxa"/>
              <w:right w:w="90" w:type="dxa"/>
            </w:tcMar>
          </w:tcPr>
          <w:p>
            <w:pPr>
              <w:jc w:val="center"/>
            </w:pPr>
            <w:r>
              <w:rPr>
                <w:rFonts w:ascii="Aptos" w:hAnsi="Aptos"/>
                <w:b/>
                <w:color w:val="FFFFFF"/>
                <w:sz w:val="16"/>
              </w:rPr>
              <w:t>Operational definition</w:t>
            </w:r>
          </w:p>
        </w:tc>
      </w:tr>
      <w:tr>
        <w:trPr>
          <w:cantSplit/>
        </w:trPr>
        <w:tc>
          <w:tcPr>
            <w:tcW w:type="dxa" w:w="3024"/>
            <w:shd w:fill="FFFFFF"/>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left"/>
            </w:pPr>
            <w:r>
              <w:rPr>
                <w:rFonts w:ascii="Cambria" w:hAnsi="Cambria"/>
                <w:color w:val="1F2937"/>
                <w:sz w:val="16"/>
              </w:rPr>
              <w:t>Clear U.S. purchase path</w:t>
            </w:r>
          </w:p>
        </w:tc>
        <w:tc>
          <w:tcPr>
            <w:tcW w:type="dxa" w:w="1512"/>
            <w:shd w:fill="FFFFFF"/>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center"/>
            </w:pPr>
            <w:r>
              <w:rPr>
                <w:rFonts w:ascii="Cambria" w:hAnsi="Cambria"/>
                <w:b/>
                <w:color w:val="1F2937"/>
                <w:sz w:val="16"/>
              </w:rPr>
              <w:t>28</w:t>
            </w:r>
          </w:p>
        </w:tc>
        <w:tc>
          <w:tcPr>
            <w:tcW w:type="dxa" w:w="1296"/>
            <w:shd w:fill="FFFFFF"/>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center"/>
            </w:pPr>
            <w:r>
              <w:rPr>
                <w:rFonts w:ascii="Cambria" w:hAnsi="Cambria"/>
                <w:b/>
                <w:color w:val="1F2937"/>
                <w:sz w:val="16"/>
              </w:rPr>
              <w:t>64%</w:t>
            </w:r>
          </w:p>
        </w:tc>
        <w:tc>
          <w:tcPr>
            <w:tcW w:type="dxa" w:w="4824"/>
            <w:shd w:fill="FFFFFF"/>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left"/>
            </w:pPr>
            <w:r>
              <w:rPr>
                <w:rFonts w:ascii="Cambria" w:hAnsi="Cambria"/>
                <w:color w:val="1F2937"/>
                <w:sz w:val="16"/>
              </w:rPr>
              <w:t>Active U.S.-facing checkout, U.S. warehouse, or established domestic specialist retailer.</w:t>
            </w:r>
          </w:p>
        </w:tc>
      </w:tr>
      <w:tr>
        <w:trPr>
          <w:cantSplit/>
        </w:trPr>
        <w:tc>
          <w:tcPr>
            <w:tcW w:type="dxa" w:w="3024"/>
            <w:shd w:fill="F5F7FA"/>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left"/>
            </w:pPr>
            <w:r>
              <w:rPr>
                <w:rFonts w:ascii="Cambria" w:hAnsi="Cambria"/>
                <w:color w:val="1F2937"/>
                <w:sz w:val="16"/>
              </w:rPr>
              <w:t>Indirect or limited path</w:t>
            </w:r>
          </w:p>
        </w:tc>
        <w:tc>
          <w:tcPr>
            <w:tcW w:type="dxa" w:w="1512"/>
            <w:shd w:fill="F5F7FA"/>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center"/>
            </w:pPr>
            <w:r>
              <w:rPr>
                <w:rFonts w:ascii="Cambria" w:hAnsi="Cambria"/>
                <w:b/>
                <w:color w:val="1F2937"/>
                <w:sz w:val="16"/>
              </w:rPr>
              <w:t>12</w:t>
            </w:r>
          </w:p>
        </w:tc>
        <w:tc>
          <w:tcPr>
            <w:tcW w:type="dxa" w:w="1296"/>
            <w:shd w:fill="F5F7FA"/>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center"/>
            </w:pPr>
            <w:r>
              <w:rPr>
                <w:rFonts w:ascii="Cambria" w:hAnsi="Cambria"/>
                <w:b/>
                <w:color w:val="1F2937"/>
                <w:sz w:val="16"/>
              </w:rPr>
              <w:t>27%</w:t>
            </w:r>
          </w:p>
        </w:tc>
        <w:tc>
          <w:tcPr>
            <w:tcW w:type="dxa" w:w="4824"/>
            <w:shd w:fill="F5F7FA"/>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left"/>
            </w:pPr>
            <w:r>
              <w:rPr>
                <w:rFonts w:ascii="Cambria" w:hAnsi="Cambria"/>
                <w:color w:val="1F2937"/>
                <w:sz w:val="16"/>
              </w:rPr>
              <w:t>Marketplace, direct import, legacy stock, special order, or unstable fulfillment.</w:t>
            </w:r>
          </w:p>
        </w:tc>
      </w:tr>
      <w:tr>
        <w:trPr>
          <w:cantSplit/>
        </w:trPr>
        <w:tc>
          <w:tcPr>
            <w:tcW w:type="dxa" w:w="3024"/>
            <w:shd w:fill="FFFFFF"/>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left"/>
            </w:pPr>
            <w:r>
              <w:rPr>
                <w:rFonts w:ascii="Cambria" w:hAnsi="Cambria"/>
                <w:color w:val="1F2937"/>
                <w:sz w:val="16"/>
              </w:rPr>
              <w:t>No sufficiently verified path</w:t>
            </w:r>
          </w:p>
        </w:tc>
        <w:tc>
          <w:tcPr>
            <w:tcW w:type="dxa" w:w="1512"/>
            <w:shd w:fill="FFFFFF"/>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center"/>
            </w:pPr>
            <w:r>
              <w:rPr>
                <w:rFonts w:ascii="Cambria" w:hAnsi="Cambria"/>
                <w:b/>
                <w:color w:val="1F2937"/>
                <w:sz w:val="16"/>
              </w:rPr>
              <w:t>4</w:t>
            </w:r>
          </w:p>
        </w:tc>
        <w:tc>
          <w:tcPr>
            <w:tcW w:type="dxa" w:w="1296"/>
            <w:shd w:fill="FFFFFF"/>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center"/>
            </w:pPr>
            <w:r>
              <w:rPr>
                <w:rFonts w:ascii="Cambria" w:hAnsi="Cambria"/>
                <w:b/>
                <w:color w:val="1F2937"/>
                <w:sz w:val="16"/>
              </w:rPr>
              <w:t>9%</w:t>
            </w:r>
          </w:p>
        </w:tc>
        <w:tc>
          <w:tcPr>
            <w:tcW w:type="dxa" w:w="4824"/>
            <w:shd w:fill="FFFFFF"/>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left"/>
            </w:pPr>
            <w:r>
              <w:rPr>
                <w:rFonts w:ascii="Cambria" w:hAnsi="Cambria"/>
                <w:color w:val="1F2937"/>
                <w:sz w:val="16"/>
              </w:rPr>
              <w:t>Product or sales information existed, but a complete U.S. order path was not verified.</w:t>
            </w:r>
          </w:p>
        </w:tc>
      </w:tr>
      <w:tr>
        <w:trPr>
          <w:cantSplit/>
        </w:trPr>
        <w:tc>
          <w:tcPr>
            <w:tcW w:type="dxa" w:w="3024"/>
            <w:shd w:fill="F5F7FA"/>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left"/>
            </w:pPr>
            <w:r>
              <w:rPr>
                <w:rFonts w:ascii="Cambria" w:hAnsi="Cambria"/>
                <w:color w:val="1F2937"/>
                <w:sz w:val="16"/>
              </w:rPr>
              <w:t>Any verified availability</w:t>
            </w:r>
          </w:p>
        </w:tc>
        <w:tc>
          <w:tcPr>
            <w:tcW w:type="dxa" w:w="1512"/>
            <w:shd w:fill="F5F7FA"/>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center"/>
            </w:pPr>
            <w:r>
              <w:rPr>
                <w:rFonts w:ascii="Cambria" w:hAnsi="Cambria"/>
                <w:b/>
                <w:color w:val="1F2937"/>
                <w:sz w:val="16"/>
              </w:rPr>
              <w:t>40</w:t>
            </w:r>
          </w:p>
        </w:tc>
        <w:tc>
          <w:tcPr>
            <w:tcW w:type="dxa" w:w="1296"/>
            <w:shd w:fill="F5F7FA"/>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center"/>
            </w:pPr>
            <w:r>
              <w:rPr>
                <w:rFonts w:ascii="Cambria" w:hAnsi="Cambria"/>
                <w:b/>
                <w:color w:val="1F2937"/>
                <w:sz w:val="16"/>
              </w:rPr>
              <w:t>91%</w:t>
            </w:r>
          </w:p>
        </w:tc>
        <w:tc>
          <w:tcPr>
            <w:tcW w:type="dxa" w:w="4824"/>
            <w:shd w:fill="F5F7FA"/>
            <w:vAlign w:val="center"/>
            <w:tcBorders>
              <w:top w:val="single" w:sz="3" w:color="CBD5E1"/>
              <w:left w:val="single" w:sz="3" w:color="CBD5E1"/>
              <w:bottom w:val="single" w:sz="3" w:color="CBD5E1"/>
              <w:right w:val="single" w:sz="3" w:color="CBD5E1"/>
            </w:tcBorders>
            <w:tcMar>
              <w:top w:w="80" w:type="dxa"/>
              <w:left w:w="90" w:type="dxa"/>
              <w:bottom w:w="80" w:type="dxa"/>
              <w:right w:w="90" w:type="dxa"/>
            </w:tcMar>
          </w:tcPr>
          <w:p>
            <w:pPr>
              <w:spacing w:after="0" w:line="240" w:lineRule="auto"/>
              <w:jc w:val="left"/>
            </w:pPr>
            <w:r>
              <w:rPr>
                <w:rFonts w:ascii="Cambria" w:hAnsi="Cambria"/>
                <w:color w:val="1F2937"/>
                <w:sz w:val="16"/>
              </w:rPr>
              <w:t>Clear and indirect channels combined within the 44-manufacturer civilian-relevant subset.</w:t>
            </w:r>
          </w:p>
        </w:tc>
      </w:tr>
    </w:tbl>
    <w:p>
      <w:pPr>
        <w:pStyle w:val="Note"/>
        <w:spacing w:before="40" w:after="100"/>
        <w:widowControl w:val="1"/>
      </w:pPr>
      <w:r>
        <w:rPr>
          <w:b/>
        </w:rPr>
        <w:t xml:space="preserve">Source: </w:t>
      </w:r>
      <w:r>
        <w:t>LRRK LLC manufacturer/model matrix and retail availability audit. Military-only and heavily sanctioned systems were excluded from the retail denominator.</w:t>
      </w:r>
      <w:r>
        <w:rPr>
          <w:color w:val="2F75B5"/>
          <w:sz w:val="15"/>
          <w:vertAlign w:val="superscript"/>
        </w:rPr>
        <w:t>6</w:t>
      </w:r>
    </w:p>
    <w:p>
      <w:pPr>
        <w:ind w:firstLine="346"/>
        <w:jc w:val="both"/>
        <w:widowControl w:val="1"/>
      </w:pPr>
      <w:r>
        <w:t>The result was not marginal persistence. Twenty-eight manufacturers retained a clear purchase path, and another 12 remained available through weaker channels. The set included prominent consumer brands, enterprise platforms, waterproof and fishing drones, FPV aircraft, and agricultural systems. The count does not imply that every model from each manufacturer was available, nor that a retailer had interpreted the law correctly. It establishes a narrower and more useful fact: strategic restriction had not translated into broad commercial disappearance.</w:t>
      </w:r>
    </w:p>
    <w:p>
      <w:pPr>
        <w:ind w:firstLine="346"/>
        <w:jc w:val="both"/>
        <w:widowControl w:val="1"/>
      </w:pPr>
      <w:r>
        <w:t>Several mechanisms produce this latency. First, an authorization attaches to equipment rather than to a news cycle. Previously approved FCC IDs can support continued sales while newer successors are blocked. Second, drones generate durable complementary markets. Batteries, propellers, controllers, payloads, mobile applications, repair services, and pilot familiarity retain value after a policy change. Owners who have invested in a platform may prefer an older replacement unit to the operational disruption of migration. Third, specialist use cases can be unusually sticky. An agricultural operator, public-safety team, surveyor, cinematographer, or maritime user may have workflows and training tied to a particular ecosystem.</w:t>
      </w:r>
    </w:p>
    <w:p>
      <w:pPr>
        <w:ind w:firstLine="346"/>
        <w:jc w:val="both"/>
        <w:widowControl w:val="1"/>
      </w:pPr>
      <w:r>
        <w:t>Fourth, online retail fragments responsibility. A domestic retailer can host a third-party seller; a foreign producer can maintain a U.S.-facing storefront; and a marketplace listing can persist after inventory is exhausted or fulfillment becomes uncertain. Search results flatten these distinctions into the same visual signal: a product card and a price. The customer is rarely shown whether the unit is legacy-authorized stock, a direct import, a domestic warehouse item, a government-only configuration, or a model that now lacks a path for future authorization.</w:t>
      </w:r>
    </w:p>
    <w:p>
      <w:pPr>
        <w:ind w:firstLine="346"/>
        <w:jc w:val="both"/>
        <w:widowControl w:val="1"/>
      </w:pPr>
      <w:r>
        <w:t>Retail persistence should therefore be understood as regulatory latency rather than as proof that the underlying policy is meaningless. Market-entry controls can reshape future product development and investment long before the installed base disappears. At the same time, latency is not neutral. It creates a transition zone in which buyers can still obtain a product whose support horizon, resale value, procurement eligibility, or future app availability has become uncertain. The burden of interpreting those risks falls largely on the party least equipped to do so: the buyer at the point of sale.</w:t>
      </w:r>
    </w:p>
    <w:p>
      <w:pPr>
        <w:pStyle w:val="Callout"/>
        <w:pBdr>
          <w:left w:val="single" w:sz="18" w:space="8" w:color="2F75B5"/>
        </w:pBdr>
        <w:widowControl w:val="1"/>
      </w:pPr>
      <w:r>
        <w:t>The central empirical finding is not that restrictions failed. It is that regulatory status and retail availability operate on different objects, through different institutions, and at different speeds.</w:t>
      </w:r>
    </w:p>
    <w:p>
      <w:pPr>
        <w:pStyle w:val="Heading1"/>
        <w:keepNext/>
        <w:keepLines/>
        <w:widowControl w:val="1"/>
      </w:pPr>
      <w:r>
        <w:t>4. National Security as Industrial Strategy</w:t>
      </w:r>
    </w:p>
    <w:p>
      <w:pPr>
        <w:ind w:firstLine="346"/>
        <w:jc w:val="both"/>
        <w:widowControl w:val="1"/>
      </w:pPr>
      <w:r>
        <w:t>The security rationale is inseparable from the structure of the drone market. Commerce's 2025 supply-chain proceeding described a U.S. consumer sector in which products developed by China-based entities accounted for at least three quarters of the market. That concentration was framed not only as a risk of unauthorized data access, but also as leverage over parts, services, software, and future supply. A dominant foreign ecosystem can create a strategic dependency even when no public vulnerability finding exists for every device it sells.</w:t>
      </w:r>
      <w:r>
        <w:rPr>
          <w:color w:val="2F75B5"/>
          <w:sz w:val="15"/>
          <w:vertAlign w:val="superscript"/>
        </w:rPr>
        <w:t>8</w:t>
      </w:r>
    </w:p>
    <w:p>
      <w:pPr>
        <w:ind w:firstLine="346"/>
        <w:jc w:val="both"/>
        <w:widowControl w:val="1"/>
      </w:pPr>
      <w:r>
        <w:t>Federal policy consequently performs two functions at once. It attempts to reduce exposure to foreign jurisdiction, surveillance, exfiltration, and service-denial risk, while creating protected demand for domestic or otherwise trusted alternatives. Executive Order 14307 makes the industrial dimension explicit by linking commercialization, production capacity, secure supply chains, federal procurement, and export competitiveness. The FCC's own 2026 proposals likewise discuss domestic investment and manufacturing growth as potential benefits of restricting previously authorized foreign systems.</w:t>
      </w:r>
      <w:r>
        <w:rPr>
          <w:color w:val="2F75B5"/>
          <w:sz w:val="15"/>
          <w:vertAlign w:val="superscript"/>
        </w:rPr>
        <w:t>9</w:t>
      </w:r>
    </w:p>
    <w:p>
      <w:pPr>
        <w:ind w:firstLine="346"/>
        <w:jc w:val="both"/>
        <w:widowControl w:val="1"/>
      </w:pPr>
      <w:r>
        <w:t>Manufacturing geography is effective for this purpose because it is administratively scalable. The government can regulate a class of products or an entity relationship more quickly than it can adjudicate the exploitability of every firmware build. Geography and ownership become proxies for jurisdictional access, supply continuity, and strategic dependence. Those proxies may be justified as national-security controls, but they are necessarily coarse. They can identify exposure to a foreign industrial system without establishing the current technical behavior of a particular unit.</w:t>
      </w:r>
    </w:p>
    <w:p>
      <w:pPr>
        <w:ind w:firstLine="346"/>
        <w:jc w:val="both"/>
        <w:widowControl w:val="1"/>
      </w:pPr>
      <w:r>
        <w:t>The reverse inference is equally unsafe. A domestic brand, allied-country assembly site, or approved procurement status does not guarantee secure firmware, disciplined vulnerability response, minimal data collection, or resilient cloud architecture. Industrial policy answers which supply chains the state intends to cultivate. Product-security assurance answers whether an exact system has the properties required for a particular mission. Treating one as a substitute for the other risks both overblocking and false confidence.</w:t>
      </w:r>
    </w:p>
    <w:p>
      <w:pPr>
        <w:ind w:firstLine="346"/>
        <w:jc w:val="both"/>
        <w:widowControl w:val="1"/>
      </w:pPr>
      <w:r>
        <w:t>The transition also has distributional consequences. Large agencies can purchase replacement fleets, negotiate enterprise support, and require contract attestations. Small public-safety departments, farmers, independent surveyors, photographers, and consumers are more likely to absorb stranded accessories, training costs, unavailable updates, or declining resale value. A credible industrial strategy therefore requires more than exclusion. It requires migration capacity, transparent lifecycle information, and trusted alternatives that can meet the price and mission requirements of the users being asked to switch.</w:t>
      </w:r>
    </w:p>
    <w:p>
      <w:pPr>
        <w:pStyle w:val="Heading1"/>
        <w:keepNext/>
        <w:keepLines/>
        <w:widowControl w:val="1"/>
      </w:pPr>
      <w:r>
        <w:t>5. The Device-Level Assurance Gap</w:t>
      </w:r>
    </w:p>
    <w:p>
      <w:pPr>
        <w:ind w:firstLine="346"/>
        <w:jc w:val="both"/>
        <w:widowControl w:val="1"/>
      </w:pPr>
      <w:r>
        <w:t>The central cybersecurity problem begins where the regulatory categories stop. A manufacturer or country designation can support a procurement decision, but it cannot describe the actual state of a device. It does not reveal the installed firmware hash, application version, enabled radios, bound accounts, cloud regions, network destinations, local storage behavior, encryption posture, exposed services, or end-of-support date. Those facts can vary across units that share a model name and can change after an update, repair, payload swap, or account migration.</w:t>
      </w:r>
    </w:p>
    <w:p>
      <w:pPr>
        <w:ind w:firstLine="346"/>
        <w:jc w:val="both"/>
        <w:widowControl w:val="1"/>
      </w:pPr>
      <w:r>
        <w:t>A modern drone should be understood as a connected cyber-physical system rather than as a standalone aircraft. The operational system includes the airframe, controller, mobile application, radio links, removable storage, update infrastructure, identity services, mapping data, cloud synchronization, payload modules, and sometimes a docking station. Each component creates its own trust boundary. A security assessment that examines only the aircraft or only the manufacturer misses the pathways through which telemetry, media, credentials, and command data move.</w:t>
      </w:r>
    </w:p>
    <w:p>
      <w:pPr>
        <w:ind w:firstLine="346"/>
        <w:jc w:val="both"/>
        <w:widowControl w:val="1"/>
      </w:pPr>
      <w:r>
        <w:t>Current federal operational guidance implicitly acknowledges this complexity. GSA directs users to understand where data is stored, how a system interacts with infrastructure and networks, and whether vendors and components are trustworthy. It recommends isolating downloads and device connections from enterprise networks, controlling firmware installation, monitoring traffic, using firewalls and antimalware, encrypting data at rest and in transit, and applying strong authentication. CISA similarly treats UAS security as a problem spanning command links, applications, privacy, data storage, supply chains, and operational resilience.</w:t>
      </w:r>
      <w:r>
        <w:rPr>
          <w:color w:val="2F75B5"/>
          <w:sz w:val="15"/>
          <w:vertAlign w:val="superscript"/>
        </w:rPr>
        <w:t>10</w:t>
      </w:r>
    </w:p>
    <w:p>
      <w:pPr>
        <w:ind w:firstLine="346"/>
        <w:jc w:val="both"/>
        <w:widowControl w:val="1"/>
      </w:pPr>
      <w:r>
        <w:t>NIST places a complementary responsibility on product manufacturers. Its 2026 IoT guidance emphasizes that customers need both cybersecurity capabilities and the information required to use them. The associated documentation catalog calls for descriptions of interfaces, expected behavior, update and maintenance sources, data access, monitoring methods, attack indicators, deletion procedures, third-party dependencies, and support relationships. These are not peripheral disclosures. They determine whether an owner can recognize abnormal behavior, respond to an incident, and understand when the manufacturer will no longer reduce risk on the owner's behalf.</w:t>
      </w:r>
      <w:r>
        <w:rPr>
          <w:color w:val="2F75B5"/>
          <w:sz w:val="15"/>
          <w:vertAlign w:val="superscript"/>
        </w:rPr>
        <w:t>11</w:t>
      </w:r>
    </w:p>
    <w:p>
      <w:pPr>
        <w:ind w:firstLine="346"/>
        <w:jc w:val="both"/>
        <w:widowControl w:val="1"/>
      </w:pPr>
      <w:r>
        <w:t>Retail pages generally surface none of this. They optimize for camera quality, flight time, range, payload, weather resistance, autonomy, and price. Even technically sophisticated buyers can struggle to identify which application package belongs to the unit, whether an update is signed, whether telemetry can be disabled, which endpoints are contacted, or whether a security advisory applies to their exact firmware branch. The result is an epistemic asymmetry: the owner bears the consequences of compromise but lacks the evidence needed to evaluate the product over time.</w:t>
      </w:r>
    </w:p>
    <w:p>
      <w:pPr>
        <w:ind w:firstLine="346"/>
        <w:jc w:val="both"/>
        <w:widowControl w:val="1"/>
      </w:pPr>
      <w:r>
        <w:t>The assurance gap is especially acute for the installed base. A prospective authorization restriction can prevent future models from entering the market, but it does not assess the millions of devices already deployed or the legacy units still circulating. Nor does it tell an owner whether a compensating control - offline operation, network segmentation, application isolation, local-only storage, or a verified firmware change - has materially reduced risk. A mature governance regime needs a way to connect strategic classification with unit-level, time-bound, reproducible evidence.</w:t>
      </w:r>
    </w:p>
    <w:p>
      <w:pPr>
        <w:pStyle w:val="Heading1"/>
        <w:keepNext/>
        <w:keepLines/>
        <w:widowControl w:val="1"/>
      </w:pPr>
      <w:r>
        <w:t>6. From Compliance Status to a Signed Security Story</w:t>
      </w:r>
    </w:p>
    <w:p>
      <w:pPr>
        <w:ind w:firstLine="346"/>
        <w:jc w:val="both"/>
        <w:widowControl w:val="1"/>
      </w:pPr>
      <w:r>
        <w:t>A product-security passport would provide that bridge. The passport should not be a one-time safety badge, a nationality score, or a claim of certification. It should be a signed evidence record that identifies the device and configuration, records the source and quality of collected evidence, and preserves the reasoning behind every risk disposition. Its purpose is not to override federal restrictions. It is to make the residual technical condition of an authorized or already-owned system visible and auditable.</w:t>
      </w:r>
    </w:p>
    <w:p>
      <w:pPr>
        <w:ind w:firstLine="346"/>
        <w:jc w:val="both"/>
        <w:widowControl w:val="1"/>
      </w:pPr>
      <w:r>
        <w:t>At a minimum, the record should include manufacturer and legal entity, model and serial number, FCC identifiers, production and assembly information, controller and payload identities, firmware and application versions, cryptographic hashes, enabled interfaces, observed network destinations, storage and cloud dependencies, known advisories, support status, and the provenance of every assertion. Regulatory status should be represented as a separate, dated field so that a legal change does not overwrite the technical history of the device. Uncertainty should be explicit rather than converted into a false precision score.</w:t>
      </w:r>
    </w:p>
    <w:p>
      <w:pPr>
        <w:ind w:firstLine="346"/>
        <w:jc w:val="both"/>
        <w:widowControl w:val="1"/>
      </w:pPr>
      <w:r>
        <w:t>The more important design element is the security story. A drone does not remain in the state it occupied on the day of purchase. Firmware changes, applications update, endpoints move, vulnerabilities are disclosed, and mitigations are applied. A useful record therefore consists of signed events: acquisition, baseline collection, firmware change, evidence acquisition, candidate hypothesis, analyst review, human disposition, mitigation, and remediation verification. The sequence allows a later reviewer to reconstruct not only what was concluded, but why the conclusion was reasonable at that time.</w:t>
      </w:r>
    </w:p>
    <w:p>
      <w:pPr>
        <w:ind w:firstLine="346"/>
        <w:jc w:val="both"/>
        <w:widowControl w:val="1"/>
      </w:pPr>
      <w:r>
        <w:t>This event model also supports device campaigns. When multiple owners encounter the same firmware family, application package, endpoint cluster, payload module, or certificate chain, their minimized evidence can be correlated without centralizing full flight logs or personal media. A campaign can aggregate a pattern, distribute a new hypothesis, and request a narrowly scoped validation step. The resulting intelligence is more operationally useful than a static advisory because it can show which configurations are affected, which controls were tested, and whether a remediation changed the observed behavior.</w:t>
      </w:r>
    </w:p>
    <w:p>
      <w:pPr>
        <w:ind w:firstLine="346"/>
        <w:jc w:val="both"/>
        <w:widowControl w:val="1"/>
      </w:pPr>
      <w:r>
        <w:t>Privacy and evidentiary discipline are prerequisites. Collection should be owner authorized, purpose limited, and fail closed. Raw media, precise locations, account tokens, and unrelated personal data should be excluded or minimized. Findings should link to captured artifacts, hashes, timestamps, and deterministic transformations. Automated analysis may generate hypotheses, but a human must disposition consequential claims. A claimed remediation should not close the record until a verification step demonstrates the expected change. These controls turn the passport from a marketing label into an assurance process.</w:t>
      </w:r>
    </w:p>
    <w:p>
      <w:pPr>
        <w:ind w:firstLine="346"/>
        <w:jc w:val="both"/>
        <w:widowControl w:val="1"/>
      </w:pPr>
      <w:r>
        <w:t>The concept can draw on the consumer-facing logic of the FCC Cyber Trust Mark while serving a different function. A label communicates that a product met a baseline at a point in time. A passport records identity, evidence, change, and review across the lifecycle. For higher-consequence mobile sensors, the longitudinal record is the more valuable artifact because the risk is configuration dependent and operationally dynamic.</w:t>
      </w:r>
      <w:r>
        <w:rPr>
          <w:color w:val="2F75B5"/>
          <w:sz w:val="15"/>
          <w:vertAlign w:val="superscript"/>
        </w:rPr>
        <w:t>12</w:t>
      </w:r>
    </w:p>
    <w:p>
      <w:pPr>
        <w:ind w:firstLine="346"/>
        <w:jc w:val="both"/>
        <w:widowControl w:val="1"/>
      </w:pPr>
      <w:r>
        <w:t>The SwellPro SplashDrone 4 and 4+ family is a strong proof-of-concept target. It is foreign produced, available through U.S.-facing channels, payload oriented, and less exhaustively studied than DJI's dominant ecosystems. Its maritime and fishing use cases also test whether the model can work outside a conventional enterprise fleet. An initial LRRK implementation should begin with fictional fixtures and owner-authorized passive evidence: firmware packages, application artifacts, version metadata, network observations, configuration exports, and signed analyst dispositions. Active exploitation, unsafe flight control, or collection of customer media is unnecessary to demonstrate the core assurance workflow.</w:t>
      </w:r>
      <w:r>
        <w:rPr>
          <w:color w:val="2F75B5"/>
          <w:sz w:val="15"/>
          <w:vertAlign w:val="superscript"/>
        </w:rPr>
        <w:t>13</w:t>
      </w:r>
    </w:p>
    <w:p>
      <w:pPr>
        <w:pStyle w:val="Heading1"/>
        <w:keepNext/>
        <w:keepLines/>
        <w:widowControl w:val="1"/>
      </w:pPr>
      <w:r>
        <w:t>7. Policy Implications and Conclusion</w:t>
      </w:r>
    </w:p>
    <w:p>
      <w:pPr>
        <w:ind w:firstLine="346"/>
        <w:jc w:val="both"/>
        <w:widowControl w:val="1"/>
      </w:pPr>
      <w:r>
        <w:t>The first policy implication is that retailer disclosure should become model specific. A buyer should be able to see, at the point of sale, whether the exact FCC ID is newly restricted, previously authorized, conditionally approved, Blue listed, or subject to a pending import or marketing proceeding. The notice should distinguish private use from federal procurement eligibility and should state whether continued software and cloud support is expected. This would reduce the gap between the political language of prohibition and the legal status of the unit being sold.</w:t>
      </w:r>
    </w:p>
    <w:p>
      <w:pPr>
        <w:ind w:firstLine="346"/>
        <w:jc w:val="both"/>
        <w:widowControl w:val="1"/>
      </w:pPr>
      <w:r>
        <w:t>Second, federal status data should be machine readable. The FCC Covered List, equipment authorization records, SAM covered-entity data, Blue UAS configuration records, and relevant advisories should be exposed through stable identifiers and interfaces that retailers, procurement systems, insurers, and assurance platforms can query. Today, a defensible determination often requires manual reconciliation of legal entities, aliases, FCC grantees, model families, configurations, and component provenance. Automation will not remove ambiguity, but it can make ambiguity visible before a transaction.</w:t>
      </w:r>
    </w:p>
    <w:p>
      <w:pPr>
        <w:ind w:firstLine="346"/>
        <w:jc w:val="both"/>
        <w:widowControl w:val="1"/>
      </w:pPr>
      <w:r>
        <w:t>Third, market-entry controls should be paired with lifecycle obligations. Manufacturers seeking continued U.S. access through an exception or conditional pathway should publish support periods, vulnerability-reporting channels, update provenance, material component changes, and security-relevant data practices. Public-interest operators facing forced migration may also need transition funding, buyback mechanisms, data-export tools, and replacement timelines that reflect mission constraints rather than idealized procurement cycles.</w:t>
      </w:r>
    </w:p>
    <w:p>
      <w:pPr>
        <w:ind w:firstLine="346"/>
        <w:jc w:val="both"/>
        <w:widowControl w:val="1"/>
      </w:pPr>
      <w:r>
        <w:t>Fourth, policy should preserve safe independent testing. The installed base cannot be governed responsibly if researchers and owners are unable to examine firmware, applications, network behavior, and remediation claims under clear authorization. Evidence-oriented testing provides a feedback mechanism for both regulators and manufacturers. It can distinguish speculative concern from demonstrated behavior, identify risks that nationality-based rules miss, and validate compensating controls where immediate replacement is impractical.</w:t>
      </w:r>
    </w:p>
    <w:p>
      <w:pPr>
        <w:ind w:firstLine="346"/>
        <w:jc w:val="both"/>
        <w:widowControl w:val="1"/>
      </w:pPr>
      <w:r>
        <w:t>The phrase "restricted, still available" therefore describes a transitional governance condition, not a paradox. Prospective FCC controls, entity-specific procurement rules, defense supply-chain requirements, industrial strategy, legacy authorization, inventories, marketplaces, and platform dependence have combined to produce a market in which strategic exclusion and ordinary access coexist. The combination is intelligible once the governing objects and timelines are separated. It is still incomplete because it leaves owners with strategic classifications but little operational evidence.</w:t>
      </w:r>
    </w:p>
    <w:p>
      <w:pPr>
        <w:ind w:firstLine="346"/>
        <w:jc w:val="both"/>
        <w:widowControl w:val="1"/>
      </w:pPr>
      <w:r>
        <w:t>The appropriate response is not a second, privately administered blacklist. It is an assurance layer that preserves the distinction between legal eligibility and technical condition while connecting the two in a traceable record. A signed product-security passport and security story can show what a particular system is, which evidence supports its status, how it has changed, which hypotheses were reviewed, and whether a claimed fix was verified. That is the missing trust infrastructure for a long transition in which affected drones will remain in warehouses, on resale markets, and in active service even as the policy landscape moves around them.</w:t>
      </w:r>
    </w:p>
    <w:p>
      <w:pPr>
        <w:widowControl w:val="1"/>
      </w:pPr>
      <w:r>
        <w:br w:type="page"/>
      </w:r>
    </w:p>
    <w:p>
      <w:pPr>
        <w:pStyle w:val="Heading1"/>
        <w:keepNext/>
        <w:keepLines/>
        <w:widowControl w:val="1"/>
      </w:pPr>
      <w:r>
        <w:t>Notes</w:t>
      </w:r>
    </w:p>
    <w:p>
      <w:pPr>
        <w:pStyle w:val="Note"/>
        <w:ind w:left="374" w:hanging="374"/>
        <w:widowControl w:val="1"/>
      </w:pPr>
      <w:r>
        <w:rPr>
          <w:b/>
        </w:rPr>
        <w:t xml:space="preserve">1. </w:t>
      </w:r>
      <w:r>
        <w:t xml:space="preserve">The conceptual framing draws on conjunctural analysis and relational comparison without making those literatures the subject of the paper. See Stuart Hall and Doreen Massey, </w:t>
      </w:r>
      <w:hyperlink r:id="rId11">
        <w:r>
          <w:rPr>
            <w:color w:val="2F75B5"/>
            <w:u w:val="none"/>
          </w:rPr>
          <w:t>"Interpreting the Crisis"</w:t>
        </w:r>
      </w:hyperlink>
      <w:r>
        <w:t xml:space="preserve">, Soundings 44 (2010), and Gillian Hart, </w:t>
      </w:r>
      <w:hyperlink r:id="rId12">
        <w:r>
          <w:rPr>
            <w:color w:val="2F75B5"/>
            <w:u w:val="none"/>
          </w:rPr>
          <w:t>"Relational Comparison Revisited"</w:t>
        </w:r>
      </w:hyperlink>
      <w:r>
        <w:t>, Progress in Human Geography 42, no. 3 (2018).</w:t>
      </w:r>
    </w:p>
    <w:p>
      <w:pPr>
        <w:pStyle w:val="Note"/>
        <w:ind w:left="374" w:hanging="374"/>
        <w:widowControl w:val="1"/>
      </w:pPr>
      <w:r>
        <w:rPr>
          <w:b/>
        </w:rPr>
        <w:t xml:space="preserve">2. </w:t>
      </w:r>
      <w:r>
        <w:t xml:space="preserve">Federal Communications Commission, </w:t>
      </w:r>
      <w:hyperlink r:id="rId13">
        <w:r>
          <w:rPr>
            <w:color w:val="2F75B5"/>
            <w:u w:val="none"/>
          </w:rPr>
          <w:t>"FCC Updates Covered List to Include Foreign UAS and UAS Critical Components"</w:t>
        </w:r>
      </w:hyperlink>
      <w:r>
        <w:t>, December 22, 2025; and Public Notice DA 25-1086.</w:t>
      </w:r>
    </w:p>
    <w:p>
      <w:pPr>
        <w:pStyle w:val="Note"/>
        <w:ind w:left="374" w:hanging="374"/>
        <w:widowControl w:val="1"/>
      </w:pPr>
      <w:r>
        <w:rPr>
          <w:b/>
        </w:rPr>
        <w:t xml:space="preserve">3. </w:t>
      </w:r>
      <w:r>
        <w:t xml:space="preserve">Federal Communications Commission, </w:t>
      </w:r>
      <w:hyperlink r:id="rId14">
        <w:r>
          <w:rPr>
            <w:color w:val="2F75B5"/>
            <w:u w:val="none"/>
          </w:rPr>
          <w:t>Covered List and UAS FAQs</w:t>
        </w:r>
      </w:hyperlink>
      <w:r>
        <w:t xml:space="preserve">; and </w:t>
      </w:r>
      <w:hyperlink r:id="rId15">
        <w:r>
          <w:rPr>
            <w:color w:val="2F75B5"/>
            <w:u w:val="none"/>
          </w:rPr>
          <w:t>DA 26-761</w:t>
        </w:r>
      </w:hyperlink>
      <w:r>
        <w:t>, July 21, 2026, extending the Blue UAS and qualifying domestic-end-product exceptions through January 1, 2028 and continuing Conditional Approvals while their conditions are met.</w:t>
      </w:r>
    </w:p>
    <w:p>
      <w:pPr>
        <w:pStyle w:val="Note"/>
        <w:ind w:left="374" w:hanging="374"/>
        <w:widowControl w:val="1"/>
      </w:pPr>
      <w:r>
        <w:rPr>
          <w:b/>
        </w:rPr>
        <w:t xml:space="preserve">4. </w:t>
      </w:r>
      <w:r>
        <w:t xml:space="preserve">Federal Acquisition Regulation, </w:t>
      </w:r>
      <w:hyperlink r:id="rId16">
        <w:r>
          <w:rPr>
            <w:color w:val="2F75B5"/>
            <w:u w:val="none"/>
          </w:rPr>
          <w:t>FAR 40.202-3</w:t>
        </w:r>
      </w:hyperlink>
      <w:r>
        <w:t xml:space="preserve">, effective March 13, 2026; and SAM.gov, </w:t>
      </w:r>
      <w:hyperlink r:id="rId17">
        <w:r>
          <w:rPr>
            <w:color w:val="2F75B5"/>
            <w:u w:val="none"/>
          </w:rPr>
          <w:t>American Security Drone Act-Covered Foreign Entity List</w:t>
        </w:r>
      </w:hyperlink>
      <w:r>
        <w:t>.</w:t>
      </w:r>
    </w:p>
    <w:p>
      <w:pPr>
        <w:pStyle w:val="Note"/>
        <w:ind w:left="374" w:hanging="374"/>
        <w:widowControl w:val="1"/>
      </w:pPr>
      <w:r>
        <w:rPr>
          <w:b/>
        </w:rPr>
        <w:t xml:space="preserve">5. </w:t>
      </w:r>
      <w:r>
        <w:t xml:space="preserve">10 U.S.C. 4871, </w:t>
      </w:r>
      <w:hyperlink r:id="rId18">
        <w:r>
          <w:rPr>
            <w:color w:val="2F75B5"/>
            <w:u w:val="none"/>
          </w:rPr>
          <w:t>Foreign-made unmanned aircraft systems</w:t>
        </w:r>
      </w:hyperlink>
      <w:r>
        <w:t>; exact Blue UAS status should be verified against the current Defense Contract Management Agency list.</w:t>
      </w:r>
    </w:p>
    <w:p>
      <w:pPr>
        <w:pStyle w:val="Note"/>
        <w:ind w:left="374" w:hanging="374"/>
        <w:widowControl w:val="1"/>
      </w:pPr>
      <w:r>
        <w:rPr>
          <w:b/>
        </w:rPr>
        <w:t xml:space="preserve">6. </w:t>
      </w:r>
      <w:r>
        <w:t>LRRK LLC, U.S. Drone Restrictions Manufacturer/Model Matrix and Retail Availability Audit, working dataset dated August 11-12, 2026. The audit classified manufacturers, not every individual SKU, and is a time-bounded observation of online purchase channels.</w:t>
      </w:r>
    </w:p>
    <w:p>
      <w:pPr>
        <w:pStyle w:val="Note"/>
        <w:ind w:left="374" w:hanging="374"/>
        <w:widowControl w:val="1"/>
      </w:pPr>
      <w:r>
        <w:rPr>
          <w:b/>
        </w:rPr>
        <w:t xml:space="preserve">7. </w:t>
      </w:r>
      <w:r>
        <w:t xml:space="preserve">Federal Communications Commission, </w:t>
      </w:r>
      <w:hyperlink r:id="rId19">
        <w:r>
          <w:rPr>
            <w:color w:val="2F75B5"/>
            <w:u w:val="none"/>
          </w:rPr>
          <w:t>DA 26-742 / PS Docket 26-184</w:t>
        </w:r>
      </w:hyperlink>
      <w:r>
        <w:t xml:space="preserve">, July 30, 2026; and </w:t>
      </w:r>
      <w:hyperlink r:id="rId20">
        <w:r>
          <w:rPr>
            <w:color w:val="2F75B5"/>
            <w:u w:val="none"/>
          </w:rPr>
          <w:t>DA 26-758 / PS Docket 26-189</w:t>
        </w:r>
      </w:hyperlink>
      <w:r>
        <w:t>, August 3, 2026. Both were requests for comment, not final prohibitions, as of the paper date.</w:t>
      </w:r>
    </w:p>
    <w:p>
      <w:pPr>
        <w:pStyle w:val="Note"/>
        <w:ind w:left="374" w:hanging="374"/>
        <w:widowControl w:val="1"/>
      </w:pPr>
      <w:r>
        <w:rPr>
          <w:b/>
        </w:rPr>
        <w:t xml:space="preserve">8. </w:t>
      </w:r>
      <w:r>
        <w:t xml:space="preserve">U.S. Department of Commerce, </w:t>
      </w:r>
      <w:hyperlink r:id="rId21">
        <w:r>
          <w:rPr>
            <w:color w:val="2F75B5"/>
            <w:u w:val="none"/>
          </w:rPr>
          <w:t>"Securing the Information and Communications Technology and Services Supply Chain: Unmanned Aircraft Systems"</w:t>
        </w:r>
      </w:hyperlink>
      <w:r>
        <w:t>, 90 Fed. Reg. 1130, January 3, 2025.</w:t>
      </w:r>
    </w:p>
    <w:p>
      <w:pPr>
        <w:pStyle w:val="Note"/>
        <w:ind w:left="374" w:hanging="374"/>
        <w:widowControl w:val="1"/>
      </w:pPr>
      <w:r>
        <w:rPr>
          <w:b/>
        </w:rPr>
        <w:t xml:space="preserve">9. </w:t>
      </w:r>
      <w:r>
        <w:t xml:space="preserve">Executive Order 14307, </w:t>
      </w:r>
      <w:hyperlink r:id="rId22">
        <w:r>
          <w:rPr>
            <w:color w:val="2F75B5"/>
            <w:u w:val="none"/>
          </w:rPr>
          <w:t>"Unleashing American Drone Dominance"</w:t>
        </w:r>
      </w:hyperlink>
      <w:r>
        <w:t>, June 6, 2025.</w:t>
      </w:r>
    </w:p>
    <w:p>
      <w:pPr>
        <w:pStyle w:val="Note"/>
        <w:ind w:left="374" w:hanging="374"/>
        <w:widowControl w:val="1"/>
      </w:pPr>
      <w:r>
        <w:rPr>
          <w:b/>
        </w:rPr>
        <w:t xml:space="preserve">10. </w:t>
      </w:r>
      <w:r>
        <w:t xml:space="preserve">U.S. General Services Administration, </w:t>
      </w:r>
      <w:hyperlink r:id="rId23">
        <w:r>
          <w:rPr>
            <w:color w:val="2F75B5"/>
            <w:u w:val="none"/>
          </w:rPr>
          <w:t>Drones/Unmanned Aircraft Systems Security, CIO-IT Security-20-104, Revision 3</w:t>
        </w:r>
      </w:hyperlink>
      <w:r>
        <w:t xml:space="preserve">, March 10, 2026; and Cybersecurity and Infrastructure Security Agency, </w:t>
      </w:r>
      <w:hyperlink r:id="rId24">
        <w:r>
          <w:rPr>
            <w:color w:val="2F75B5"/>
            <w:u w:val="none"/>
          </w:rPr>
          <w:t>UAS Cybersecurity</w:t>
        </w:r>
      </w:hyperlink>
      <w:r>
        <w:t>.</w:t>
      </w:r>
    </w:p>
    <w:p>
      <w:pPr>
        <w:pStyle w:val="Note"/>
        <w:ind w:left="374" w:hanging="374"/>
        <w:widowControl w:val="1"/>
      </w:pPr>
      <w:r>
        <w:rPr>
          <w:b/>
        </w:rPr>
        <w:t xml:space="preserve">11. </w:t>
      </w:r>
      <w:r>
        <w:t xml:space="preserve">National Institute of Standards and Technology, </w:t>
      </w:r>
      <w:hyperlink r:id="rId25">
        <w:r>
          <w:rPr>
            <w:color w:val="2F75B5"/>
            <w:u w:val="none"/>
          </w:rPr>
          <w:t>NIST IR 8259 Rev. 1, Foundational Cybersecurity Activities for IoT Product Manufacturers</w:t>
        </w:r>
      </w:hyperlink>
      <w:r>
        <w:t xml:space="preserve">, April 2026; and NIST, </w:t>
      </w:r>
      <w:hyperlink r:id="rId26">
        <w:r>
          <w:rPr>
            <w:color w:val="2F75B5"/>
            <w:u w:val="none"/>
          </w:rPr>
          <w:t>Documentation from the Manufacturer</w:t>
        </w:r>
      </w:hyperlink>
      <w:r>
        <w:t>, IoT Device Cybersecurity Requirement Catalogs.</w:t>
      </w:r>
    </w:p>
    <w:p>
      <w:pPr>
        <w:pStyle w:val="Note"/>
        <w:ind w:left="374" w:hanging="374"/>
        <w:widowControl w:val="1"/>
      </w:pPr>
      <w:r>
        <w:rPr>
          <w:b/>
        </w:rPr>
        <w:t xml:space="preserve">12. </w:t>
      </w:r>
      <w:r>
        <w:t xml:space="preserve">Federal Communications Commission, </w:t>
      </w:r>
      <w:hyperlink r:id="rId27">
        <w:r>
          <w:rPr>
            <w:color w:val="2F75B5"/>
            <w:u w:val="none"/>
          </w:rPr>
          <w:t>U.S. Cyber Trust Mark</w:t>
        </w:r>
      </w:hyperlink>
      <w:r>
        <w:t>. The analogy is limited: the proposed passport is an evidence history rather than a one-time consumer label.</w:t>
      </w:r>
    </w:p>
    <w:p>
      <w:pPr>
        <w:pStyle w:val="Note"/>
        <w:ind w:left="374" w:hanging="374"/>
        <w:widowControl w:val="1"/>
      </w:pPr>
      <w:r>
        <w:rPr>
          <w:b/>
        </w:rPr>
        <w:t xml:space="preserve">13. </w:t>
      </w:r>
      <w:r>
        <w:t xml:space="preserve">SwellPro, </w:t>
      </w:r>
      <w:hyperlink r:id="rId28">
        <w:r>
          <w:rPr>
            <w:color w:val="2F75B5"/>
            <w:u w:val="none"/>
          </w:rPr>
          <w:t>SplashDrone 4+ product and U.S.-facing retail information</w:t>
        </w:r>
      </w:hyperlink>
      <w:r>
        <w:t>, observed August 2026. The proof-of-concept scope described here is passive, owner authorized, and intended to begin with synthetic fixtures.</w:t>
      </w:r>
    </w:p>
    <w:p>
      <w:pPr>
        <w:widowControl w:val="1"/>
      </w:pPr>
      <w:r>
        <w:br w:type="page"/>
      </w:r>
    </w:p>
    <w:p>
      <w:pPr>
        <w:pStyle w:val="Heading1"/>
        <w:keepNext/>
        <w:keepLines/>
        <w:widowControl w:val="1"/>
      </w:pPr>
      <w:r>
        <w:t>Selected Bibliography and Authorities</w:t>
      </w:r>
    </w:p>
    <w:p>
      <w:pPr>
        <w:pStyle w:val="Bibliography"/>
        <w:widowControl w:val="1"/>
      </w:pPr>
      <w:r>
        <w:t xml:space="preserve">Acquisition.gov. 2026. </w:t>
      </w:r>
      <w:hyperlink r:id="rId16">
        <w:r>
          <w:rPr>
            <w:color w:val="17365D"/>
            <w:u w:val="none"/>
          </w:rPr>
          <w:t>"FAR 40.202-3: Prohibition."</w:t>
        </w:r>
      </w:hyperlink>
      <w:r>
        <w:t xml:space="preserve"> Effective March 13, 2026.</w:t>
      </w:r>
    </w:p>
    <w:p>
      <w:pPr>
        <w:pStyle w:val="Bibliography"/>
        <w:widowControl w:val="1"/>
      </w:pPr>
      <w:r>
        <w:t xml:space="preserve">Cybersecurity and Infrastructure Security Agency. 2026. </w:t>
      </w:r>
      <w:hyperlink r:id="rId24">
        <w:r>
          <w:rPr>
            <w:color w:val="17365D"/>
            <w:u w:val="none"/>
          </w:rPr>
          <w:t>"UAS Cybersecurity."</w:t>
        </w:r>
      </w:hyperlink>
    </w:p>
    <w:p>
      <w:pPr>
        <w:pStyle w:val="Bibliography"/>
        <w:widowControl w:val="1"/>
      </w:pPr>
      <w:r>
        <w:t xml:space="preserve">Federal Communications Commission. 2024. </w:t>
      </w:r>
      <w:hyperlink r:id="rId27">
        <w:r>
          <w:rPr>
            <w:color w:val="17365D"/>
            <w:u w:val="none"/>
          </w:rPr>
          <w:t>"U.S. Cyber Trust Mark."</w:t>
        </w:r>
      </w:hyperlink>
    </w:p>
    <w:p>
      <w:pPr>
        <w:pStyle w:val="Bibliography"/>
        <w:widowControl w:val="1"/>
      </w:pPr>
      <w:r>
        <w:t xml:space="preserve">Federal Communications Commission. 2025. </w:t>
      </w:r>
      <w:hyperlink r:id="rId13">
        <w:r>
          <w:rPr>
            <w:color w:val="17365D"/>
            <w:u w:val="none"/>
          </w:rPr>
          <w:t>"FCC Updates Covered List to Include Foreign UAS and UAS Critical Components."</w:t>
        </w:r>
      </w:hyperlink>
      <w:r>
        <w:t xml:space="preserve"> December 22.</w:t>
      </w:r>
    </w:p>
    <w:p>
      <w:pPr>
        <w:pStyle w:val="Bibliography"/>
        <w:widowControl w:val="1"/>
      </w:pPr>
      <w:r>
        <w:t xml:space="preserve">Federal Communications Commission. 2026. </w:t>
      </w:r>
      <w:hyperlink r:id="rId14">
        <w:r>
          <w:rPr>
            <w:color w:val="17365D"/>
            <w:u w:val="none"/>
          </w:rPr>
          <w:t>"Covered List FAQs: UAS and UAS Critical Components."</w:t>
        </w:r>
      </w:hyperlink>
    </w:p>
    <w:p>
      <w:pPr>
        <w:pStyle w:val="Bibliography"/>
        <w:widowControl w:val="1"/>
      </w:pPr>
      <w:r>
        <w:t xml:space="preserve">Federal Communications Commission. 2026. </w:t>
      </w:r>
      <w:hyperlink r:id="rId15">
        <w:r>
          <w:rPr>
            <w:color w:val="17365D"/>
            <w:u w:val="none"/>
          </w:rPr>
          <w:t>"DA 26-761: Extension of Exceptions and Conditional Approvals."</w:t>
        </w:r>
      </w:hyperlink>
      <w:r>
        <w:t xml:space="preserve"> July 21.</w:t>
      </w:r>
    </w:p>
    <w:p>
      <w:pPr>
        <w:pStyle w:val="Bibliography"/>
        <w:widowControl w:val="1"/>
      </w:pPr>
      <w:r>
        <w:t xml:space="preserve">Federal Communications Commission. 2026. </w:t>
      </w:r>
      <w:hyperlink r:id="rId19">
        <w:r>
          <w:rPr>
            <w:color w:val="17365D"/>
            <w:u w:val="none"/>
          </w:rPr>
          <w:t>"DA 26-742 / PS Docket 26-184."</w:t>
        </w:r>
      </w:hyperlink>
      <w:r>
        <w:t xml:space="preserve"> July 30.</w:t>
      </w:r>
    </w:p>
    <w:p>
      <w:pPr>
        <w:pStyle w:val="Bibliography"/>
        <w:widowControl w:val="1"/>
      </w:pPr>
      <w:r>
        <w:t xml:space="preserve">Federal Communications Commission. 2026. </w:t>
      </w:r>
      <w:hyperlink r:id="rId20">
        <w:r>
          <w:rPr>
            <w:color w:val="17365D"/>
            <w:u w:val="none"/>
          </w:rPr>
          <w:t>"DA 26-758 / PS Docket 26-189."</w:t>
        </w:r>
      </w:hyperlink>
      <w:r>
        <w:t xml:space="preserve"> August 3.</w:t>
      </w:r>
    </w:p>
    <w:p>
      <w:pPr>
        <w:pStyle w:val="Bibliography"/>
        <w:widowControl w:val="1"/>
      </w:pPr>
      <w:r>
        <w:t xml:space="preserve">General Services Administration. 2026. </w:t>
      </w:r>
      <w:hyperlink r:id="rId23">
        <w:r>
          <w:rPr>
            <w:color w:val="17365D"/>
            <w:u w:val="none"/>
          </w:rPr>
          <w:t>Drones/Unmanned Aircraft Systems Security, CIO-IT Security-20-104, Revision 3.</w:t>
        </w:r>
      </w:hyperlink>
      <w:r>
        <w:t xml:space="preserve"> March 10.</w:t>
      </w:r>
    </w:p>
    <w:p>
      <w:pPr>
        <w:pStyle w:val="Bibliography"/>
        <w:widowControl w:val="1"/>
      </w:pPr>
      <w:r>
        <w:t xml:space="preserve">Hall, Stuart, and Doreen Massey. 2010. </w:t>
      </w:r>
      <w:hyperlink r:id="rId11">
        <w:r>
          <w:rPr>
            <w:color w:val="17365D"/>
            <w:u w:val="none"/>
          </w:rPr>
          <w:t>"Interpreting the Crisis."</w:t>
        </w:r>
      </w:hyperlink>
      <w:r>
        <w:t xml:space="preserve"> Soundings 44: 57-71.</w:t>
      </w:r>
    </w:p>
    <w:p>
      <w:pPr>
        <w:pStyle w:val="Bibliography"/>
        <w:widowControl w:val="1"/>
      </w:pPr>
      <w:r>
        <w:t xml:space="preserve">Hart, Gillian. 2018. </w:t>
      </w:r>
      <w:hyperlink r:id="rId12">
        <w:r>
          <w:rPr>
            <w:color w:val="17365D"/>
            <w:u w:val="none"/>
          </w:rPr>
          <w:t>"Relational Comparison Revisited: Marxist Postcolonial Geographies in Practice."</w:t>
        </w:r>
      </w:hyperlink>
      <w:r>
        <w:t xml:space="preserve"> Progress in Human Geography 42 (3): 371-394.</w:t>
      </w:r>
    </w:p>
    <w:p>
      <w:pPr>
        <w:pStyle w:val="Bibliography"/>
        <w:widowControl w:val="1"/>
      </w:pPr>
      <w:r>
        <w:t xml:space="preserve">LRRK LLC. 2026. </w:t>
      </w:r>
      <w:r>
        <w:t>U.S. Drone Restrictions Manufacturer/Model Matrix and Retail Availability Audit.</w:t>
      </w:r>
      <w:r>
        <w:t xml:space="preserve"> Unpublished working dataset, August 11-12.</w:t>
      </w:r>
    </w:p>
    <w:p>
      <w:pPr>
        <w:pStyle w:val="Bibliography"/>
        <w:widowControl w:val="1"/>
      </w:pPr>
      <w:r>
        <w:t xml:space="preserve">National Institute of Standards and Technology. 2026. </w:t>
      </w:r>
      <w:hyperlink r:id="rId25">
        <w:r>
          <w:rPr>
            <w:color w:val="17365D"/>
            <w:u w:val="none"/>
          </w:rPr>
          <w:t>NIST IR 8259 Rev. 1: Foundational Cybersecurity Activities for IoT Product Manufacturers.</w:t>
        </w:r>
      </w:hyperlink>
      <w:r>
        <w:t xml:space="preserve"> April.</w:t>
      </w:r>
    </w:p>
    <w:p>
      <w:pPr>
        <w:pStyle w:val="Bibliography"/>
        <w:widowControl w:val="1"/>
      </w:pPr>
      <w:r>
        <w:t xml:space="preserve">National Institute of Standards and Technology. 2026. </w:t>
      </w:r>
      <w:hyperlink r:id="rId26">
        <w:r>
          <w:rPr>
            <w:color w:val="17365D"/>
            <w:u w:val="none"/>
          </w:rPr>
          <w:t>"Documentation from the Manufacturer."</w:t>
        </w:r>
      </w:hyperlink>
    </w:p>
    <w:p>
      <w:pPr>
        <w:pStyle w:val="Bibliography"/>
        <w:widowControl w:val="1"/>
      </w:pPr>
      <w:r>
        <w:t xml:space="preserve">SAM.gov. 2024. </w:t>
      </w:r>
      <w:hyperlink r:id="rId17">
        <w:r>
          <w:rPr>
            <w:color w:val="17365D"/>
            <w:u w:val="none"/>
          </w:rPr>
          <w:t>"American Security Drone Act-Covered Foreign Entity List."</w:t>
        </w:r>
      </w:hyperlink>
      <w:r>
        <w:t xml:space="preserve"> Updated November 13; accessed August 12, 2026.</w:t>
      </w:r>
    </w:p>
    <w:p>
      <w:pPr>
        <w:pStyle w:val="Bibliography"/>
        <w:widowControl w:val="1"/>
      </w:pPr>
      <w:r>
        <w:t xml:space="preserve">SwellPro. 2026. </w:t>
      </w:r>
      <w:hyperlink r:id="rId28">
        <w:r>
          <w:rPr>
            <w:color w:val="17365D"/>
            <w:u w:val="none"/>
          </w:rPr>
          <w:t>"SplashDrone 4 Plus Multifunctional Waterproof Drone."</w:t>
        </w:r>
      </w:hyperlink>
      <w:r>
        <w:t xml:space="preserve"> U.S.-facing product listing observed August 2026.</w:t>
      </w:r>
    </w:p>
    <w:p>
      <w:pPr>
        <w:pStyle w:val="Bibliography"/>
        <w:widowControl w:val="1"/>
      </w:pPr>
      <w:r>
        <w:t xml:space="preserve">United States Code. 2026. </w:t>
      </w:r>
      <w:hyperlink r:id="rId18">
        <w:r>
          <w:rPr>
            <w:color w:val="17365D"/>
            <w:u w:val="none"/>
          </w:rPr>
          <w:t>10 U.S.C. 4871: Foreign-made unmanned aircraft systems.</w:t>
        </w:r>
      </w:hyperlink>
    </w:p>
    <w:p>
      <w:pPr>
        <w:pStyle w:val="Bibliography"/>
        <w:widowControl w:val="1"/>
      </w:pPr>
      <w:r>
        <w:t xml:space="preserve">U.S. Department of Commerce. 2025. </w:t>
      </w:r>
      <w:hyperlink r:id="rId21">
        <w:r>
          <w:rPr>
            <w:color w:val="17365D"/>
            <w:u w:val="none"/>
          </w:rPr>
          <w:t>"Securing the Information and Communications Technology and Services Supply Chain: Unmanned Aircraft Systems."</w:t>
        </w:r>
      </w:hyperlink>
      <w:r>
        <w:t xml:space="preserve"> 90 Fed. Reg. 1130.</w:t>
      </w:r>
    </w:p>
    <w:p>
      <w:pPr>
        <w:pStyle w:val="Bibliography"/>
        <w:widowControl w:val="1"/>
      </w:pPr>
      <w:r>
        <w:t xml:space="preserve">White House. 2025. </w:t>
      </w:r>
      <w:hyperlink r:id="rId22">
        <w:r>
          <w:rPr>
            <w:color w:val="17365D"/>
            <w:u w:val="none"/>
          </w:rPr>
          <w:t>"Executive Order 14307: Unleashing American Drone Dominance."</w:t>
        </w:r>
      </w:hyperlink>
      <w:r>
        <w:t xml:space="preserve"> June 6.</w:t>
      </w:r>
    </w:p>
    <w:sectPr w:rsidR="00FC693F" w:rsidRPr="0006063C" w:rsidSect="00034616">
      <w:headerReference w:type="default" r:id="rId9"/>
      <w:footerReference w:type="default" r:id="rId10"/>
      <w:pgSz w:w="12240" w:h="15840"/>
      <w:pgMar w:top="1123" w:right="1296" w:bottom="1037" w:left="1296" w:header="403" w:footer="461" w:gutter="0"/>
      <w:cols w:space="720"/>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7085"/>
        <w:sz w:val="16"/>
      </w:rPr>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3" w:color="D7E3F0"/>
      </w:pBdr>
    </w:pPr>
    <w:r>
      <w:rPr>
        <w:rFonts w:ascii="Aptos" w:hAnsi="Aptos"/>
        <w:b/>
        <w:color w:val="667085"/>
        <w:sz w:val="15"/>
      </w:rPr>
      <w:t>RESTRICTED, STILL AVAILABLE  |  LRRK RESEARCH 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6" w:line="266" w:lineRule="auto"/>
      <w:jc w:val="both"/>
    </w:pPr>
    <w:rPr>
      <w:rFonts w:ascii="Cambria" w:hAnsi="Cambria" w:eastAsia="Cambria"/>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line="240" w:lineRule="auto"/>
      <w:outlineLvl w:val="0"/>
    </w:pPr>
    <w:rPr>
      <w:rFonts w:asciiTheme="majorHAnsi" w:eastAsiaTheme="majorEastAsia" w:hAnsiTheme="majorHAnsi" w:cstheme="majorBidi" w:ascii="Aptos Display" w:hAnsi="Aptos Display" w:eastAsia="Aptos Display"/>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perTitle">
    <w:name w:val="Paper Title"/>
    <w:pPr>
      <w:spacing w:after="200" w:line="235" w:lineRule="auto"/>
    </w:pPr>
    <w:rPr>
      <w:rFonts w:ascii="Aptos Display" w:hAnsi="Aptos Display" w:eastAsia="Aptos Display"/>
      <w:b/>
      <w:color w:val="17365D"/>
      <w:sz w:val="58"/>
    </w:rPr>
  </w:style>
  <w:style w:type="paragraph" w:customStyle="1" w:styleId="PaperSubtitle">
    <w:name w:val="Paper Subtitle"/>
    <w:pPr>
      <w:spacing w:after="360" w:line="259" w:lineRule="auto"/>
    </w:pPr>
    <w:rPr>
      <w:rFonts w:ascii="Aptos" w:hAnsi="Aptos" w:eastAsia="Aptos"/>
      <w:color w:val="667085"/>
      <w:sz w:val="29"/>
    </w:rPr>
  </w:style>
  <w:style w:type="paragraph" w:customStyle="1" w:styleId="Kicker">
    <w:name w:val="Kicker"/>
    <w:pPr>
      <w:spacing w:after="560"/>
    </w:pPr>
    <w:rPr>
      <w:rFonts w:ascii="Aptos" w:hAnsi="Aptos" w:eastAsia="Aptos"/>
      <w:b/>
      <w:color w:val="2F75B5"/>
      <w:sz w:val="17"/>
    </w:rPr>
  </w:style>
  <w:style w:type="paragraph" w:customStyle="1" w:styleId="AbstractLabel">
    <w:name w:val="Abstract Label"/>
    <w:pPr>
      <w:spacing w:before="0" w:after="80"/>
    </w:pPr>
    <w:rPr>
      <w:rFonts w:ascii="Aptos" w:hAnsi="Aptos" w:eastAsia="Aptos"/>
      <w:b/>
      <w:color w:val="2F75B5"/>
      <w:sz w:val="17"/>
    </w:rPr>
  </w:style>
  <w:style w:type="paragraph" w:customStyle="1" w:styleId="AbstractBody">
    <w:name w:val="Abstract Body"/>
    <w:pPr>
      <w:spacing w:after="180" w:line="274" w:lineRule="auto"/>
      <w:jc w:val="both"/>
    </w:pPr>
    <w:rPr>
      <w:rFonts w:ascii="Cambria" w:hAnsi="Cambria" w:eastAsia="Cambria"/>
      <w:color w:val="1F2937"/>
      <w:sz w:val="20"/>
    </w:rPr>
  </w:style>
  <w:style w:type="paragraph" w:customStyle="1" w:styleId="TableCaption">
    <w:name w:val="Table Caption"/>
    <w:pPr>
      <w:keepNext/>
      <w:spacing w:before="140" w:after="60"/>
    </w:pPr>
    <w:rPr>
      <w:rFonts w:ascii="Aptos" w:hAnsi="Aptos" w:eastAsia="Aptos"/>
      <w:b/>
      <w:color w:val="17365D"/>
      <w:sz w:val="17"/>
    </w:rPr>
  </w:style>
  <w:style w:type="paragraph" w:customStyle="1" w:styleId="Callout">
    <w:name w:val="Callout"/>
    <w:pPr>
      <w:spacing w:before="100" w:after="140" w:line="259" w:lineRule="auto"/>
      <w:ind w:left="403" w:right="288"/>
    </w:pPr>
    <w:rPr>
      <w:rFonts w:ascii="Cambria" w:hAnsi="Cambria" w:eastAsia="Cambria"/>
      <w:i/>
      <w:color w:val="17365D"/>
      <w:sz w:val="20"/>
    </w:rPr>
  </w:style>
  <w:style w:type="paragraph" w:customStyle="1" w:styleId="Note">
    <w:name w:val="Note"/>
    <w:pPr>
      <w:spacing w:after="60" w:line="240" w:lineRule="auto"/>
      <w:jc w:val="left"/>
    </w:pPr>
    <w:rPr>
      <w:rFonts w:ascii="Cambria" w:hAnsi="Cambria" w:eastAsia="Cambria"/>
      <w:color w:val="1F2937"/>
      <w:sz w:val="18"/>
    </w:rPr>
  </w:style>
  <w:style w:type="paragraph" w:customStyle="1" w:styleId="Bibliography">
    <w:name w:val="Bibliography"/>
    <w:pPr>
      <w:spacing w:after="50" w:line="240" w:lineRule="auto"/>
      <w:ind w:left="389" w:hanging="389"/>
      <w:jc w:val="left"/>
    </w:pPr>
    <w:rPr>
      <w:rFonts w:ascii="Cambria" w:hAnsi="Cambria" w:eastAsia="Cambria"/>
      <w:color w:val="1F2937"/>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journals.lwbooks.co.uk/soundings/vol-2010-issue-44/article-7260/" TargetMode="External"/><Relationship Id="rId12" Type="http://schemas.openxmlformats.org/officeDocument/2006/relationships/hyperlink" Target="https://doi.org/10.1177/0309132516681388" TargetMode="External"/><Relationship Id="rId13" Type="http://schemas.openxmlformats.org/officeDocument/2006/relationships/hyperlink" Target="https://docs.fcc.gov/public/attachments/DOC-416839A1.pdf" TargetMode="External"/><Relationship Id="rId14" Type="http://schemas.openxmlformats.org/officeDocument/2006/relationships/hyperlink" Target="https://www.fcc.gov/covered-list-faqs-uas-and-uas-critical-components" TargetMode="External"/><Relationship Id="rId15" Type="http://schemas.openxmlformats.org/officeDocument/2006/relationships/hyperlink" Target="https://docs.fcc.gov/public/attachments/DA-26-761A1.pdf" TargetMode="External"/><Relationship Id="rId16" Type="http://schemas.openxmlformats.org/officeDocument/2006/relationships/hyperlink" Target="https://www.acquisition.gov/far/40.202-3" TargetMode="External"/><Relationship Id="rId17" Type="http://schemas.openxmlformats.org/officeDocument/2006/relationships/hyperlink" Target="https://sam.gov/announcements/american-security-drone-act-covered-foreign-entity-list" TargetMode="External"/><Relationship Id="rId18" Type="http://schemas.openxmlformats.org/officeDocument/2006/relationships/hyperlink" Target="https://uscode.house.gov/view.xhtml?edition=prelim&amp;num=0&amp;req=granuleid%3AUSC-prelim-title10-section4871" TargetMode="External"/><Relationship Id="rId19" Type="http://schemas.openxmlformats.org/officeDocument/2006/relationships/hyperlink" Target="https://www.govinfo.gov/content/pkg/FR-2026-07-30/html/2026-15418.htm" TargetMode="External"/><Relationship Id="rId20" Type="http://schemas.openxmlformats.org/officeDocument/2006/relationships/hyperlink" Target="https://www.federalregister.gov/documents/2026/08/03/2026-15659/seeking-comment-on-prohibiting-the-importation-and-marketing-of-certain-foreign-produced" TargetMode="External"/><Relationship Id="rId21" Type="http://schemas.openxmlformats.org/officeDocument/2006/relationships/hyperlink" Target="https://www.federalregister.gov/documents/2025/01/03/2024-30209/securing-the-information-and-communications-technology-and-services-supply-chain-unmanned-aircraft" TargetMode="External"/><Relationship Id="rId22" Type="http://schemas.openxmlformats.org/officeDocument/2006/relationships/hyperlink" Target="https://www.whitehouse.gov/presidential-actions/2025/06/unleashing-american-drone-dominance/" TargetMode="External"/><Relationship Id="rId23" Type="http://schemas.openxmlformats.org/officeDocument/2006/relationships/hyperlink" Target="https://www.gsa.gov/system/files?file=Drones-Unmanned-Aircraft-Systems-%28UAS%29-Security-%5BCIO-IT-Security-20-104-Rev-3%5D.pdf" TargetMode="External"/><Relationship Id="rId24" Type="http://schemas.openxmlformats.org/officeDocument/2006/relationships/hyperlink" Target="https://www.cisa.gov/topics/physical-security/be-air-aware/uas-cybersecurity" TargetMode="External"/><Relationship Id="rId25" Type="http://schemas.openxmlformats.org/officeDocument/2006/relationships/hyperlink" Target="https://csrc.nist.gov/pubs/ir/8259/r1/final" TargetMode="External"/><Relationship Id="rId26" Type="http://schemas.openxmlformats.org/officeDocument/2006/relationships/hyperlink" Target="https://pages.nist.gov/IoT-Device-Cybersecurity-Requirement-Catalogs/nontechnical/manufacturer/documentation/" TargetMode="External"/><Relationship Id="rId27" Type="http://schemas.openxmlformats.org/officeDocument/2006/relationships/hyperlink" Target="https://www.fcc.gov/CyberTrustMark" TargetMode="External"/><Relationship Id="rId28" Type="http://schemas.openxmlformats.org/officeDocument/2006/relationships/hyperlink" Target="https://store.swellpro.com/products/swellpro-splashdrone-4-plus-multifunctional-waterproof-dr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Restricted, Still Available: U.S. Drone Policy, Retail Persistence, and the Product-Security Assurance Gap</dc:title>
  <dc:subject>Research paper on U.S. drone restrictions, retail availability, industrial strategy, and product-security assurance</dc:subject>
  <dc:creator>LRRK LLC</dc:creator>
  <cp:keywords>drones, FCC Covered List, American Security Drone Act, product security passport, UAS cybersecurity, industrial policy</cp:keywords>
  <dc:description>Rebuilt and reformatted August 12, 2026.</dc:description>
  <cp:lastModifiedBy/>
  <cp:revision>1</cp:revision>
  <dcterms:created xsi:type="dcterms:W3CDTF">2013-12-23T23:15:00Z</dcterms:created>
  <dcterms:modified xsi:type="dcterms:W3CDTF">2013-12-23T23:15:00Z</dcterms:modified>
  <cp:category/>
</cp:coreProperties>
</file>